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9123A" w:rsidRDefault="0046491C" w:rsidP="00E34F08">
      <w:pPr>
        <w:spacing w:after="0" w:line="360" w:lineRule="auto"/>
        <w:jc w:val="both"/>
        <w:rPr>
          <w:rFonts w:ascii="Palatino Linotype" w:hAnsi="Palatino Linotype" w:cs="Arial"/>
          <w:b/>
          <w:sz w:val="24"/>
          <w:szCs w:val="24"/>
        </w:rPr>
      </w:pPr>
      <w:bookmarkStart w:id="0" w:name="_GoBack"/>
      <w:bookmarkEnd w:id="0"/>
      <w:r w:rsidRPr="0009123A">
        <w:rPr>
          <w:rFonts w:ascii="Palatino Linotype" w:hAnsi="Palatino Linotype" w:cs="Arial"/>
          <w:b/>
          <w:sz w:val="24"/>
          <w:szCs w:val="24"/>
        </w:rPr>
        <w:t>VOTO PARTICULAR DEL COMISIONADO JOSÉ GUADA</w:t>
      </w:r>
      <w:r w:rsidR="00D72985" w:rsidRPr="0009123A">
        <w:rPr>
          <w:rFonts w:ascii="Palatino Linotype" w:hAnsi="Palatino Linotype" w:cs="Arial"/>
          <w:b/>
          <w:sz w:val="24"/>
          <w:szCs w:val="24"/>
        </w:rPr>
        <w:t>LUPE LUNA HERNÁNDEZ DEL RECURSO</w:t>
      </w:r>
      <w:r w:rsidR="00BF3534" w:rsidRPr="0009123A">
        <w:rPr>
          <w:rFonts w:ascii="Palatino Linotype" w:hAnsi="Palatino Linotype" w:cs="Arial"/>
          <w:b/>
          <w:sz w:val="24"/>
          <w:szCs w:val="24"/>
        </w:rPr>
        <w:t xml:space="preserve"> DE REVISIÓN </w:t>
      </w:r>
      <w:r w:rsidR="00412655">
        <w:rPr>
          <w:rFonts w:ascii="Palatino Linotype" w:hAnsi="Palatino Linotype" w:cs="Arial"/>
          <w:b/>
          <w:sz w:val="24"/>
          <w:szCs w:val="24"/>
        </w:rPr>
        <w:t>02182</w:t>
      </w:r>
      <w:r w:rsidR="00AD1F13">
        <w:rPr>
          <w:rFonts w:ascii="Palatino Linotype" w:hAnsi="Palatino Linotype" w:cs="Arial"/>
          <w:b/>
          <w:sz w:val="24"/>
          <w:szCs w:val="24"/>
        </w:rPr>
        <w:t>/INFOEM/IP/RR/2019</w:t>
      </w:r>
      <w:r w:rsidR="000A3353">
        <w:rPr>
          <w:rFonts w:ascii="Palatino Linotype" w:hAnsi="Palatino Linotype" w:cs="Arial"/>
          <w:b/>
          <w:sz w:val="24"/>
          <w:szCs w:val="24"/>
        </w:rPr>
        <w:t>.</w:t>
      </w:r>
    </w:p>
    <w:p w:rsidR="0082452E" w:rsidRPr="0009123A" w:rsidRDefault="0082452E" w:rsidP="00E34F08">
      <w:pPr>
        <w:spacing w:after="0" w:line="36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b/>
          <w:sz w:val="24"/>
          <w:szCs w:val="24"/>
        </w:rPr>
      </w:pPr>
      <w:r w:rsidRPr="0009123A">
        <w:rPr>
          <w:rFonts w:ascii="Palatino Linotype" w:hAnsi="Palatino Linotype" w:cs="Arial"/>
          <w:b/>
          <w:sz w:val="24"/>
          <w:szCs w:val="24"/>
        </w:rPr>
        <w:t>Líneas argumentativas:</w:t>
      </w:r>
    </w:p>
    <w:p w:rsidR="00902248" w:rsidRPr="0009123A" w:rsidRDefault="00902248" w:rsidP="000E57DB">
      <w:pPr>
        <w:spacing w:after="0" w:line="276" w:lineRule="auto"/>
        <w:jc w:val="both"/>
        <w:rPr>
          <w:rFonts w:ascii="Palatino Linotype" w:hAnsi="Palatino Linotype" w:cs="Arial"/>
          <w:sz w:val="24"/>
          <w:szCs w:val="24"/>
        </w:rPr>
      </w:pPr>
    </w:p>
    <w:p w:rsidR="0046491C" w:rsidRPr="0009123A"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DA472B" w:rsidRDefault="00902248" w:rsidP="00DA472B">
      <w:pPr>
        <w:spacing w:after="0" w:line="360" w:lineRule="auto"/>
        <w:jc w:val="both"/>
        <w:rPr>
          <w:rFonts w:ascii="Palatino Linotype" w:hAnsi="Palatino Linotype" w:cs="Arial"/>
          <w:sz w:val="10"/>
          <w:szCs w:val="24"/>
        </w:rPr>
      </w:pPr>
    </w:p>
    <w:p w:rsidR="0046491C" w:rsidRPr="0009123A"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figura de actos consentidos no debe ser invocada en el derecho humano fundamental de acceder a la información pública gubernamental.</w:t>
      </w:r>
    </w:p>
    <w:p w:rsidR="0001046D" w:rsidRPr="00DA472B" w:rsidRDefault="0001046D" w:rsidP="00DA472B">
      <w:pPr>
        <w:spacing w:after="0" w:line="360" w:lineRule="auto"/>
        <w:jc w:val="both"/>
        <w:rPr>
          <w:rFonts w:ascii="Palatino Linotype" w:hAnsi="Palatino Linotype" w:cs="Arial"/>
          <w:sz w:val="10"/>
          <w:szCs w:val="24"/>
        </w:rPr>
      </w:pPr>
    </w:p>
    <w:p w:rsidR="0046491C" w:rsidRPr="0009123A"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DA472B" w:rsidRDefault="0046491C" w:rsidP="00DA472B">
      <w:pPr>
        <w:spacing w:after="0" w:line="360" w:lineRule="auto"/>
        <w:jc w:val="both"/>
        <w:rPr>
          <w:rFonts w:ascii="Palatino Linotype" w:hAnsi="Palatino Linotype" w:cs="Arial"/>
          <w:sz w:val="10"/>
          <w:szCs w:val="24"/>
        </w:rPr>
      </w:pPr>
    </w:p>
    <w:p w:rsidR="0046491C" w:rsidRPr="0009123A"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DA472B" w:rsidRDefault="0046491C" w:rsidP="00DA472B">
      <w:pPr>
        <w:spacing w:after="0" w:line="360" w:lineRule="auto"/>
        <w:jc w:val="both"/>
        <w:rPr>
          <w:rFonts w:ascii="Palatino Linotype" w:hAnsi="Palatino Linotype" w:cs="Arial"/>
          <w:sz w:val="10"/>
          <w:szCs w:val="24"/>
        </w:rPr>
      </w:pPr>
    </w:p>
    <w:p w:rsidR="0046491C" w:rsidRPr="0009123A"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09123A" w:rsidRDefault="0082452E" w:rsidP="00DA472B">
      <w:pPr>
        <w:spacing w:after="0" w:line="360" w:lineRule="auto"/>
        <w:jc w:val="both"/>
        <w:rPr>
          <w:rFonts w:ascii="Palatino Linotype" w:hAnsi="Palatino Linotype" w:cs="Arial"/>
          <w:sz w:val="24"/>
          <w:szCs w:val="24"/>
        </w:rPr>
      </w:pPr>
    </w:p>
    <w:p w:rsidR="0046491C"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Los órganos del Estado, tienen el deber que tienen dentro del margen de sus atribuciones, de prevenir violaciones a los derechos fundamentales.</w:t>
      </w:r>
    </w:p>
    <w:p w:rsidR="008907F2" w:rsidRDefault="008907F2" w:rsidP="00DA472B">
      <w:pPr>
        <w:spacing w:after="0" w:line="360" w:lineRule="auto"/>
        <w:jc w:val="both"/>
        <w:rPr>
          <w:rFonts w:ascii="Palatino Linotype" w:hAnsi="Palatino Linotype" w:cs="Arial"/>
          <w:sz w:val="24"/>
          <w:szCs w:val="24"/>
        </w:rPr>
      </w:pPr>
    </w:p>
    <w:p w:rsidR="008907F2" w:rsidRDefault="008907F2" w:rsidP="00DA472B">
      <w:pPr>
        <w:spacing w:after="0" w:line="360" w:lineRule="auto"/>
        <w:jc w:val="both"/>
        <w:rPr>
          <w:rFonts w:ascii="Palatino Linotype" w:hAnsi="Palatino Linotype" w:cs="Arial"/>
          <w:sz w:val="24"/>
          <w:szCs w:val="24"/>
        </w:rPr>
      </w:pPr>
    </w:p>
    <w:p w:rsidR="008907F2" w:rsidRPr="0009123A" w:rsidRDefault="008907F2" w:rsidP="00DA472B">
      <w:pPr>
        <w:spacing w:after="0" w:line="360" w:lineRule="auto"/>
        <w:jc w:val="both"/>
        <w:rPr>
          <w:rFonts w:ascii="Palatino Linotype" w:hAnsi="Palatino Linotype" w:cs="Arial"/>
          <w:sz w:val="24"/>
          <w:szCs w:val="24"/>
        </w:rPr>
      </w:pPr>
    </w:p>
    <w:p w:rsidR="0046491C" w:rsidRPr="000E57DB" w:rsidRDefault="0046491C" w:rsidP="000E57DB">
      <w:pPr>
        <w:spacing w:after="0" w:line="600" w:lineRule="auto"/>
        <w:jc w:val="both"/>
        <w:rPr>
          <w:rFonts w:ascii="Palatino Linotype" w:hAnsi="Palatino Linotype" w:cs="Arial"/>
          <w:sz w:val="24"/>
          <w:szCs w:val="24"/>
        </w:rPr>
      </w:pPr>
      <w:r w:rsidRPr="000E57DB">
        <w:rPr>
          <w:rFonts w:ascii="Palatino Linotype" w:hAnsi="Palatino Linotype" w:cs="Arial"/>
          <w:b/>
          <w:sz w:val="24"/>
          <w:szCs w:val="24"/>
        </w:rPr>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0E57DB" w:rsidRDefault="0046491C" w:rsidP="00DA472B">
          <w:pPr>
            <w:pStyle w:val="TtulodeTDC"/>
            <w:spacing w:line="720" w:lineRule="auto"/>
            <w:rPr>
              <w:rFonts w:ascii="Palatino Linotype" w:hAnsi="Palatino Linotype"/>
              <w:sz w:val="24"/>
              <w:szCs w:val="24"/>
            </w:rPr>
          </w:pPr>
        </w:p>
        <w:p w:rsidR="008907F2" w:rsidRDefault="0046491C" w:rsidP="008907F2">
          <w:pPr>
            <w:pStyle w:val="TDC1"/>
            <w:tabs>
              <w:tab w:val="left" w:pos="440"/>
              <w:tab w:val="right" w:leader="dot" w:pos="8828"/>
            </w:tabs>
            <w:spacing w:line="720" w:lineRule="auto"/>
            <w:rPr>
              <w:rFonts w:eastAsiaTheme="minorEastAsia"/>
              <w:noProof/>
              <w:lang w:eastAsia="es-MX"/>
            </w:rPr>
          </w:pPr>
          <w:r w:rsidRPr="000E57DB">
            <w:rPr>
              <w:rFonts w:ascii="Palatino Linotype" w:hAnsi="Palatino Linotype"/>
              <w:sz w:val="24"/>
              <w:szCs w:val="24"/>
            </w:rPr>
            <w:fldChar w:fldCharType="begin"/>
          </w:r>
          <w:r w:rsidRPr="000E57DB">
            <w:rPr>
              <w:rFonts w:ascii="Palatino Linotype" w:hAnsi="Palatino Linotype"/>
              <w:sz w:val="24"/>
              <w:szCs w:val="24"/>
            </w:rPr>
            <w:instrText xml:space="preserve"> TOC \o "1-3" \h \z \u </w:instrText>
          </w:r>
          <w:r w:rsidRPr="000E57DB">
            <w:rPr>
              <w:rFonts w:ascii="Palatino Linotype" w:hAnsi="Palatino Linotype"/>
              <w:sz w:val="24"/>
              <w:szCs w:val="24"/>
            </w:rPr>
            <w:fldChar w:fldCharType="separate"/>
          </w:r>
          <w:hyperlink w:anchor="_Toc8149935" w:history="1">
            <w:r w:rsidR="008907F2" w:rsidRPr="00F855CF">
              <w:rPr>
                <w:rStyle w:val="Hipervnculo"/>
                <w:rFonts w:ascii="Palatino Linotype" w:hAnsi="Palatino Linotype"/>
                <w:b/>
                <w:noProof/>
              </w:rPr>
              <w:t>I.</w:t>
            </w:r>
            <w:r w:rsidR="008907F2">
              <w:rPr>
                <w:rFonts w:eastAsiaTheme="minorEastAsia"/>
                <w:noProof/>
                <w:lang w:eastAsia="es-MX"/>
              </w:rPr>
              <w:tab/>
            </w:r>
            <w:r w:rsidR="008907F2" w:rsidRPr="00F855CF">
              <w:rPr>
                <w:rStyle w:val="Hipervnculo"/>
                <w:rFonts w:ascii="Palatino Linotype" w:hAnsi="Palatino Linotype"/>
                <w:b/>
                <w:noProof/>
              </w:rPr>
              <w:t>Consideraciones Generales.</w:t>
            </w:r>
            <w:r w:rsidR="008907F2">
              <w:rPr>
                <w:noProof/>
                <w:webHidden/>
              </w:rPr>
              <w:tab/>
            </w:r>
            <w:r w:rsidR="008907F2">
              <w:rPr>
                <w:noProof/>
                <w:webHidden/>
              </w:rPr>
              <w:fldChar w:fldCharType="begin"/>
            </w:r>
            <w:r w:rsidR="008907F2">
              <w:rPr>
                <w:noProof/>
                <w:webHidden/>
              </w:rPr>
              <w:instrText xml:space="preserve"> PAGEREF _Toc8149935 \h </w:instrText>
            </w:r>
            <w:r w:rsidR="008907F2">
              <w:rPr>
                <w:noProof/>
                <w:webHidden/>
              </w:rPr>
            </w:r>
            <w:r w:rsidR="008907F2">
              <w:rPr>
                <w:noProof/>
                <w:webHidden/>
              </w:rPr>
              <w:fldChar w:fldCharType="separate"/>
            </w:r>
            <w:r w:rsidR="00191034">
              <w:rPr>
                <w:noProof/>
                <w:webHidden/>
              </w:rPr>
              <w:t>3</w:t>
            </w:r>
            <w:r w:rsidR="008907F2">
              <w:rPr>
                <w:noProof/>
                <w:webHidden/>
              </w:rPr>
              <w:fldChar w:fldCharType="end"/>
            </w:r>
          </w:hyperlink>
        </w:p>
        <w:p w:rsidR="008907F2" w:rsidRDefault="009546BB" w:rsidP="008907F2">
          <w:pPr>
            <w:pStyle w:val="TDC1"/>
            <w:tabs>
              <w:tab w:val="left" w:pos="660"/>
              <w:tab w:val="right" w:leader="dot" w:pos="8828"/>
            </w:tabs>
            <w:spacing w:line="720" w:lineRule="auto"/>
            <w:rPr>
              <w:rFonts w:eastAsiaTheme="minorEastAsia"/>
              <w:noProof/>
              <w:lang w:eastAsia="es-MX"/>
            </w:rPr>
          </w:pPr>
          <w:hyperlink w:anchor="_Toc8149936" w:history="1">
            <w:r w:rsidR="008907F2" w:rsidRPr="00F855CF">
              <w:rPr>
                <w:rStyle w:val="Hipervnculo"/>
                <w:rFonts w:ascii="Palatino Linotype" w:hAnsi="Palatino Linotype"/>
                <w:b/>
                <w:noProof/>
              </w:rPr>
              <w:t>II.</w:t>
            </w:r>
            <w:r w:rsidR="008907F2">
              <w:rPr>
                <w:rFonts w:eastAsiaTheme="minorEastAsia"/>
                <w:noProof/>
                <w:lang w:eastAsia="es-MX"/>
              </w:rPr>
              <w:tab/>
            </w:r>
            <w:r w:rsidR="008907F2" w:rsidRPr="00F855CF">
              <w:rPr>
                <w:rStyle w:val="Hipervnculo"/>
                <w:rFonts w:ascii="Palatino Linotype" w:hAnsi="Palatino Linotype"/>
                <w:b/>
                <w:noProof/>
              </w:rPr>
              <w:t>De los requerimientos planteados en el recurso de revisión.</w:t>
            </w:r>
            <w:r w:rsidR="008907F2">
              <w:rPr>
                <w:noProof/>
                <w:webHidden/>
              </w:rPr>
              <w:tab/>
            </w:r>
            <w:r w:rsidR="008907F2">
              <w:rPr>
                <w:noProof/>
                <w:webHidden/>
              </w:rPr>
              <w:fldChar w:fldCharType="begin"/>
            </w:r>
            <w:r w:rsidR="008907F2">
              <w:rPr>
                <w:noProof/>
                <w:webHidden/>
              </w:rPr>
              <w:instrText xml:space="preserve"> PAGEREF _Toc8149936 \h </w:instrText>
            </w:r>
            <w:r w:rsidR="008907F2">
              <w:rPr>
                <w:noProof/>
                <w:webHidden/>
              </w:rPr>
            </w:r>
            <w:r w:rsidR="008907F2">
              <w:rPr>
                <w:noProof/>
                <w:webHidden/>
              </w:rPr>
              <w:fldChar w:fldCharType="separate"/>
            </w:r>
            <w:r w:rsidR="00191034">
              <w:rPr>
                <w:noProof/>
                <w:webHidden/>
              </w:rPr>
              <w:t>4</w:t>
            </w:r>
            <w:r w:rsidR="008907F2">
              <w:rPr>
                <w:noProof/>
                <w:webHidden/>
              </w:rPr>
              <w:fldChar w:fldCharType="end"/>
            </w:r>
          </w:hyperlink>
        </w:p>
        <w:p w:rsidR="008907F2" w:rsidRDefault="009546BB" w:rsidP="008907F2">
          <w:pPr>
            <w:pStyle w:val="TDC1"/>
            <w:tabs>
              <w:tab w:val="left" w:pos="660"/>
              <w:tab w:val="right" w:leader="dot" w:pos="8828"/>
            </w:tabs>
            <w:spacing w:line="720" w:lineRule="auto"/>
            <w:rPr>
              <w:rFonts w:eastAsiaTheme="minorEastAsia"/>
              <w:noProof/>
              <w:lang w:eastAsia="es-MX"/>
            </w:rPr>
          </w:pPr>
          <w:hyperlink w:anchor="_Toc8149937" w:history="1">
            <w:r w:rsidR="008907F2" w:rsidRPr="00F855CF">
              <w:rPr>
                <w:rStyle w:val="Hipervnculo"/>
                <w:rFonts w:ascii="Palatino Linotype" w:hAnsi="Palatino Linotype"/>
                <w:b/>
                <w:noProof/>
              </w:rPr>
              <w:t>III.</w:t>
            </w:r>
            <w:r w:rsidR="008907F2">
              <w:rPr>
                <w:rFonts w:eastAsiaTheme="minorEastAsia"/>
                <w:noProof/>
                <w:lang w:eastAsia="es-MX"/>
              </w:rPr>
              <w:tab/>
            </w:r>
            <w:r w:rsidR="008907F2" w:rsidRPr="00F855CF">
              <w:rPr>
                <w:rStyle w:val="Hipervnculo"/>
                <w:rFonts w:ascii="Palatino Linotype" w:hAnsi="Palatino Linotype"/>
                <w:b/>
                <w:noProof/>
              </w:rPr>
              <w:t>Los actos consentidos no deben invocarse en el derecho fundamental de acceder a la información pública gubernamental.</w:t>
            </w:r>
            <w:r w:rsidR="008907F2">
              <w:rPr>
                <w:noProof/>
                <w:webHidden/>
              </w:rPr>
              <w:tab/>
            </w:r>
            <w:r w:rsidR="008907F2">
              <w:rPr>
                <w:noProof/>
                <w:webHidden/>
              </w:rPr>
              <w:fldChar w:fldCharType="begin"/>
            </w:r>
            <w:r w:rsidR="008907F2">
              <w:rPr>
                <w:noProof/>
                <w:webHidden/>
              </w:rPr>
              <w:instrText xml:space="preserve"> PAGEREF _Toc8149937 \h </w:instrText>
            </w:r>
            <w:r w:rsidR="008907F2">
              <w:rPr>
                <w:noProof/>
                <w:webHidden/>
              </w:rPr>
            </w:r>
            <w:r w:rsidR="008907F2">
              <w:rPr>
                <w:noProof/>
                <w:webHidden/>
              </w:rPr>
              <w:fldChar w:fldCharType="separate"/>
            </w:r>
            <w:r w:rsidR="00191034">
              <w:rPr>
                <w:noProof/>
                <w:webHidden/>
              </w:rPr>
              <w:t>7</w:t>
            </w:r>
            <w:r w:rsidR="008907F2">
              <w:rPr>
                <w:noProof/>
                <w:webHidden/>
              </w:rPr>
              <w:fldChar w:fldCharType="end"/>
            </w:r>
          </w:hyperlink>
        </w:p>
        <w:p w:rsidR="0046491C" w:rsidRPr="000E57DB" w:rsidRDefault="0046491C" w:rsidP="00736A2B">
          <w:pPr>
            <w:spacing w:line="720" w:lineRule="auto"/>
            <w:rPr>
              <w:rFonts w:ascii="Palatino Linotype" w:hAnsi="Palatino Linotype"/>
              <w:sz w:val="24"/>
              <w:szCs w:val="24"/>
            </w:rPr>
          </w:pPr>
          <w:r w:rsidRPr="000E57DB">
            <w:rPr>
              <w:rFonts w:ascii="Palatino Linotype" w:hAnsi="Palatino Linotype"/>
              <w:b/>
              <w:bCs/>
              <w:sz w:val="24"/>
              <w:szCs w:val="24"/>
              <w:lang w:val="es-ES"/>
            </w:rPr>
            <w:fldChar w:fldCharType="end"/>
          </w:r>
        </w:p>
      </w:sdtContent>
    </w:sdt>
    <w:p w:rsidR="000E57DB" w:rsidRDefault="000E57DB" w:rsidP="00702BD9">
      <w:pPr>
        <w:rPr>
          <w:rFonts w:ascii="Palatino Linotype" w:hAnsi="Palatino Linotype"/>
          <w:sz w:val="24"/>
          <w:szCs w:val="24"/>
        </w:rPr>
      </w:pPr>
    </w:p>
    <w:p w:rsidR="000A3353" w:rsidRDefault="000A3353" w:rsidP="00702BD9">
      <w:pPr>
        <w:rPr>
          <w:rFonts w:ascii="Palatino Linotype" w:hAnsi="Palatino Linotype"/>
          <w:sz w:val="24"/>
          <w:szCs w:val="24"/>
        </w:rPr>
      </w:pPr>
    </w:p>
    <w:p w:rsidR="000A3353" w:rsidRDefault="000A3353" w:rsidP="00702BD9">
      <w:pPr>
        <w:rPr>
          <w:rFonts w:ascii="Palatino Linotype" w:hAnsi="Palatino Linotype"/>
          <w:sz w:val="24"/>
          <w:szCs w:val="24"/>
        </w:rPr>
      </w:pPr>
    </w:p>
    <w:p w:rsidR="006A21B1" w:rsidRDefault="006A21B1" w:rsidP="00702BD9">
      <w:pPr>
        <w:rPr>
          <w:rFonts w:ascii="Palatino Linotype" w:hAnsi="Palatino Linotype"/>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1" w:name="_Toc8149935"/>
      <w:r w:rsidRPr="0009123A">
        <w:rPr>
          <w:rFonts w:ascii="Palatino Linotype" w:hAnsi="Palatino Linotype"/>
          <w:b/>
          <w:color w:val="auto"/>
          <w:sz w:val="24"/>
          <w:szCs w:val="24"/>
        </w:rPr>
        <w:lastRenderedPageBreak/>
        <w:t>Consideraciones Generales.</w:t>
      </w:r>
      <w:bookmarkEnd w:id="1"/>
    </w:p>
    <w:p w:rsidR="0046491C" w:rsidRPr="0009123A" w:rsidRDefault="0046491C" w:rsidP="00E34F08">
      <w:pPr>
        <w:pStyle w:val="Prrafodelista"/>
        <w:spacing w:after="0" w:line="360" w:lineRule="auto"/>
        <w:ind w:left="1080"/>
        <w:jc w:val="both"/>
        <w:rPr>
          <w:rFonts w:ascii="Palatino Linotype" w:hAnsi="Palatino Linotype" w:cs="Arial"/>
          <w:b/>
          <w:sz w:val="24"/>
          <w:szCs w:val="24"/>
        </w:rPr>
      </w:pPr>
    </w:p>
    <w:p w:rsidR="0046491C" w:rsidRPr="00B26501" w:rsidRDefault="0046491C" w:rsidP="00B26501">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eastAsia="Times New Roman" w:hAnsi="Palatino Linotype" w:cs="Arial"/>
          <w:sz w:val="24"/>
          <w:szCs w:val="24"/>
          <w:lang w:val="es-ES_tradnl"/>
        </w:rPr>
        <w:t xml:space="preserve">He concurrido con mi </w:t>
      </w:r>
      <w:r w:rsidR="00D33AF9" w:rsidRPr="0009123A">
        <w:rPr>
          <w:rFonts w:ascii="Palatino Linotype" w:eastAsia="Times New Roman" w:hAnsi="Palatino Linotype" w:cs="Arial"/>
          <w:sz w:val="24"/>
          <w:szCs w:val="24"/>
          <w:lang w:val="es-ES_tradnl"/>
        </w:rPr>
        <w:t>voto</w:t>
      </w:r>
      <w:r w:rsidRPr="0009123A">
        <w:rPr>
          <w:rFonts w:ascii="Palatino Linotype" w:eastAsia="Times New Roman" w:hAnsi="Palatino Linotype" w:cs="Arial"/>
          <w:sz w:val="24"/>
          <w:szCs w:val="24"/>
          <w:lang w:val="es-ES_tradnl"/>
        </w:rPr>
        <w:t xml:space="preserve"> particular de la presente resolución emitida </w:t>
      </w:r>
      <w:r w:rsidRPr="0009123A">
        <w:rPr>
          <w:rFonts w:ascii="Palatino Linotype" w:hAnsi="Palatino Linotype" w:cs="Arial"/>
          <w:sz w:val="24"/>
          <w:szCs w:val="24"/>
        </w:rPr>
        <w:t>por el Pleno del Instituto de Transparencia, Acceso a la Información Pública y Protección de Datos Personales del Estado de Méxi</w:t>
      </w:r>
      <w:r w:rsidR="002C1F75" w:rsidRPr="0009123A">
        <w:rPr>
          <w:rFonts w:ascii="Palatino Linotype" w:hAnsi="Palatino Linotype" w:cs="Arial"/>
          <w:sz w:val="24"/>
          <w:szCs w:val="24"/>
        </w:rPr>
        <w:t>co y Municipios, en su</w:t>
      </w:r>
      <w:r w:rsidR="000D1743" w:rsidRPr="0009123A">
        <w:rPr>
          <w:rFonts w:ascii="Palatino Linotype" w:hAnsi="Palatino Linotype" w:cs="Arial"/>
          <w:sz w:val="24"/>
          <w:szCs w:val="24"/>
        </w:rPr>
        <w:t xml:space="preserve"> </w:t>
      </w:r>
      <w:r w:rsidR="006A21B1">
        <w:rPr>
          <w:rFonts w:ascii="Palatino Linotype" w:hAnsi="Palatino Linotype" w:cs="Arial"/>
          <w:sz w:val="24"/>
          <w:szCs w:val="24"/>
        </w:rPr>
        <w:t>Vigésima Segunda</w:t>
      </w:r>
      <w:r w:rsidR="002D240A">
        <w:rPr>
          <w:rFonts w:ascii="Palatino Linotype" w:hAnsi="Palatino Linotype" w:cs="Arial"/>
          <w:sz w:val="24"/>
          <w:szCs w:val="24"/>
        </w:rPr>
        <w:t xml:space="preserve"> </w:t>
      </w:r>
      <w:r w:rsidRPr="0009123A">
        <w:rPr>
          <w:rFonts w:ascii="Palatino Linotype" w:hAnsi="Palatino Linotype" w:cs="Arial"/>
          <w:sz w:val="24"/>
          <w:szCs w:val="24"/>
        </w:rPr>
        <w:t xml:space="preserve">sesión ordinaria </w:t>
      </w:r>
      <w:r w:rsidR="00777181" w:rsidRPr="0009123A">
        <w:rPr>
          <w:rFonts w:ascii="Palatino Linotype" w:hAnsi="Palatino Linotype" w:cs="Arial"/>
          <w:sz w:val="24"/>
          <w:szCs w:val="24"/>
        </w:rPr>
        <w:t>d</w:t>
      </w:r>
      <w:r w:rsidR="00C7250F" w:rsidRPr="0009123A">
        <w:rPr>
          <w:rFonts w:ascii="Palatino Linotype" w:hAnsi="Palatino Linotype" w:cs="Arial"/>
          <w:sz w:val="24"/>
          <w:szCs w:val="24"/>
        </w:rPr>
        <w:t xml:space="preserve">e fecha </w:t>
      </w:r>
      <w:r w:rsidR="00C44747">
        <w:rPr>
          <w:rFonts w:ascii="Palatino Linotype" w:hAnsi="Palatino Linotype" w:cs="Arial"/>
          <w:sz w:val="24"/>
          <w:szCs w:val="24"/>
        </w:rPr>
        <w:t>do</w:t>
      </w:r>
      <w:r w:rsidR="006A21B1">
        <w:rPr>
          <w:rFonts w:ascii="Palatino Linotype" w:hAnsi="Palatino Linotype" w:cs="Arial"/>
          <w:sz w:val="24"/>
          <w:szCs w:val="24"/>
        </w:rPr>
        <w:t>ce</w:t>
      </w:r>
      <w:r w:rsidRPr="0009123A">
        <w:rPr>
          <w:rFonts w:ascii="Palatino Linotype" w:hAnsi="Palatino Linotype" w:cs="Arial"/>
          <w:sz w:val="24"/>
          <w:szCs w:val="24"/>
        </w:rPr>
        <w:t xml:space="preserve"> (</w:t>
      </w:r>
      <w:r w:rsidR="006A21B1">
        <w:rPr>
          <w:rFonts w:ascii="Palatino Linotype" w:hAnsi="Palatino Linotype" w:cs="Arial"/>
          <w:sz w:val="24"/>
          <w:szCs w:val="24"/>
        </w:rPr>
        <w:t>1</w:t>
      </w:r>
      <w:r w:rsidR="002D240A">
        <w:rPr>
          <w:rFonts w:ascii="Palatino Linotype" w:hAnsi="Palatino Linotype" w:cs="Arial"/>
          <w:sz w:val="24"/>
          <w:szCs w:val="24"/>
        </w:rPr>
        <w:t>2</w:t>
      </w:r>
      <w:r w:rsidR="00225026" w:rsidRPr="0009123A">
        <w:rPr>
          <w:rFonts w:ascii="Palatino Linotype" w:hAnsi="Palatino Linotype" w:cs="Arial"/>
          <w:sz w:val="24"/>
          <w:szCs w:val="24"/>
        </w:rPr>
        <w:t xml:space="preserve">) de </w:t>
      </w:r>
      <w:r w:rsidR="006A21B1">
        <w:rPr>
          <w:rFonts w:ascii="Palatino Linotype" w:hAnsi="Palatino Linotype" w:cs="Arial"/>
          <w:sz w:val="24"/>
          <w:szCs w:val="24"/>
        </w:rPr>
        <w:t>junio</w:t>
      </w:r>
      <w:r w:rsidR="00C7250F" w:rsidRPr="0009123A">
        <w:rPr>
          <w:rFonts w:ascii="Palatino Linotype" w:hAnsi="Palatino Linotype" w:cs="Arial"/>
          <w:sz w:val="24"/>
          <w:szCs w:val="24"/>
        </w:rPr>
        <w:t xml:space="preserve"> </w:t>
      </w:r>
      <w:r w:rsidR="0076241F" w:rsidRPr="0009123A">
        <w:rPr>
          <w:rFonts w:ascii="Palatino Linotype" w:hAnsi="Palatino Linotype" w:cs="Arial"/>
          <w:sz w:val="24"/>
          <w:szCs w:val="24"/>
        </w:rPr>
        <w:t>de dos mil dieci</w:t>
      </w:r>
      <w:r w:rsidR="00347624" w:rsidRPr="0009123A">
        <w:rPr>
          <w:rFonts w:ascii="Palatino Linotype" w:hAnsi="Palatino Linotype" w:cs="Arial"/>
          <w:sz w:val="24"/>
          <w:szCs w:val="24"/>
        </w:rPr>
        <w:t>nueve</w:t>
      </w:r>
      <w:r w:rsidRPr="0009123A">
        <w:rPr>
          <w:rFonts w:ascii="Palatino Linotype" w:hAnsi="Palatino Linotype" w:cs="Arial"/>
          <w:sz w:val="24"/>
          <w:szCs w:val="24"/>
        </w:rPr>
        <w:t>, en el recurso</w:t>
      </w:r>
      <w:r w:rsidR="002C1F75" w:rsidRPr="0009123A">
        <w:rPr>
          <w:rFonts w:ascii="Palatino Linotype" w:hAnsi="Palatino Linotype" w:cs="Arial"/>
          <w:sz w:val="24"/>
          <w:szCs w:val="24"/>
        </w:rPr>
        <w:t xml:space="preserve"> de revisión promovido</w:t>
      </w:r>
      <w:r w:rsidR="00DE67B1">
        <w:rPr>
          <w:rFonts w:ascii="Palatino Linotype" w:hAnsi="Palatino Linotype" w:cs="Arial"/>
          <w:sz w:val="24"/>
          <w:szCs w:val="24"/>
        </w:rPr>
        <w:t xml:space="preserve"> en contra de la respuesta de</w:t>
      </w:r>
      <w:r w:rsidR="00777181" w:rsidRPr="0009123A">
        <w:rPr>
          <w:rFonts w:ascii="Palatino Linotype" w:hAnsi="Palatino Linotype" w:cs="Arial"/>
          <w:sz w:val="24"/>
          <w:szCs w:val="24"/>
        </w:rPr>
        <w:t xml:space="preserve">l </w:t>
      </w:r>
      <w:r w:rsidR="006A21B1">
        <w:rPr>
          <w:rFonts w:ascii="Palatino Linotype" w:hAnsi="Palatino Linotype" w:cs="Tahoma"/>
          <w:b/>
          <w:bCs/>
          <w:color w:val="0D0D0D" w:themeColor="text1" w:themeTint="F2"/>
        </w:rPr>
        <w:t xml:space="preserve">Ayuntamiento de </w:t>
      </w:r>
      <w:r w:rsidR="00412655">
        <w:rPr>
          <w:rFonts w:ascii="Palatino Linotype" w:hAnsi="Palatino Linotype" w:cs="Tahoma"/>
          <w:b/>
          <w:bCs/>
          <w:color w:val="0D0D0D" w:themeColor="text1" w:themeTint="F2"/>
        </w:rPr>
        <w:t>Nezahualcóyotl</w:t>
      </w:r>
      <w:r w:rsidR="00B26501">
        <w:rPr>
          <w:rFonts w:ascii="Palatino Linotype" w:hAnsi="Palatino Linotype"/>
          <w:b/>
          <w:bCs/>
          <w:color w:val="000000"/>
          <w:sz w:val="24"/>
          <w:szCs w:val="14"/>
        </w:rPr>
        <w:t xml:space="preserve"> </w:t>
      </w:r>
      <w:r w:rsidRPr="00B26501">
        <w:rPr>
          <w:rFonts w:ascii="Palatino Linotype" w:hAnsi="Palatino Linotype" w:cs="Arial"/>
          <w:sz w:val="24"/>
          <w:szCs w:val="24"/>
        </w:rPr>
        <w:t>procedimiento a</w:t>
      </w:r>
      <w:r w:rsidR="0000525F" w:rsidRPr="00B26501">
        <w:rPr>
          <w:rFonts w:ascii="Palatino Linotype" w:hAnsi="Palatino Linotype" w:cs="Arial"/>
          <w:sz w:val="24"/>
          <w:szCs w:val="24"/>
        </w:rPr>
        <w:t>l</w:t>
      </w:r>
      <w:r w:rsidR="00902248" w:rsidRPr="00B26501">
        <w:rPr>
          <w:rFonts w:ascii="Palatino Linotype" w:hAnsi="Palatino Linotype" w:cs="Arial"/>
          <w:sz w:val="24"/>
          <w:szCs w:val="24"/>
        </w:rPr>
        <w:t xml:space="preserve"> que se le asignó </w:t>
      </w:r>
      <w:r w:rsidR="0000525F" w:rsidRPr="00B26501">
        <w:rPr>
          <w:rFonts w:ascii="Palatino Linotype" w:hAnsi="Palatino Linotype" w:cs="Arial"/>
          <w:sz w:val="24"/>
          <w:szCs w:val="24"/>
        </w:rPr>
        <w:t>el</w:t>
      </w:r>
      <w:r w:rsidRPr="00B26501">
        <w:rPr>
          <w:rFonts w:ascii="Palatino Linotype" w:hAnsi="Palatino Linotype" w:cs="Arial"/>
          <w:sz w:val="24"/>
          <w:szCs w:val="24"/>
        </w:rPr>
        <w:t xml:space="preserve"> número de expediente </w:t>
      </w:r>
      <w:r w:rsidR="0076241F" w:rsidRPr="00B26501">
        <w:rPr>
          <w:rFonts w:ascii="Palatino Linotype" w:eastAsia="Times New Roman" w:hAnsi="Palatino Linotype" w:cs="Arial"/>
          <w:b/>
          <w:bCs/>
          <w:sz w:val="24"/>
          <w:szCs w:val="24"/>
          <w:lang w:eastAsia="es-ES"/>
        </w:rPr>
        <w:t>0</w:t>
      </w:r>
      <w:r w:rsidR="00412655">
        <w:rPr>
          <w:rFonts w:ascii="Palatino Linotype" w:eastAsia="Times New Roman" w:hAnsi="Palatino Linotype" w:cs="Arial"/>
          <w:b/>
          <w:bCs/>
          <w:sz w:val="24"/>
          <w:szCs w:val="24"/>
          <w:lang w:eastAsia="es-ES"/>
        </w:rPr>
        <w:t>2182</w:t>
      </w:r>
      <w:r w:rsidR="00AD1F13">
        <w:rPr>
          <w:rFonts w:ascii="Palatino Linotype" w:eastAsia="Times New Roman" w:hAnsi="Palatino Linotype" w:cs="Arial"/>
          <w:b/>
          <w:bCs/>
          <w:sz w:val="24"/>
          <w:szCs w:val="24"/>
          <w:lang w:eastAsia="es-ES"/>
        </w:rPr>
        <w:t>/INFOEM/IP/RR/2019</w:t>
      </w:r>
      <w:r w:rsidR="006A21B1">
        <w:rPr>
          <w:rFonts w:ascii="Palatino Linotype" w:eastAsia="Times New Roman" w:hAnsi="Palatino Linotype" w:cs="Arial"/>
          <w:b/>
          <w:bCs/>
          <w:sz w:val="24"/>
          <w:szCs w:val="24"/>
          <w:lang w:eastAsia="es-ES"/>
        </w:rPr>
        <w:t>.</w:t>
      </w:r>
    </w:p>
    <w:p w:rsidR="000E57DB" w:rsidRPr="0009123A" w:rsidRDefault="000E57DB" w:rsidP="000E57DB">
      <w:pPr>
        <w:pStyle w:val="Prrafodelista"/>
        <w:spacing w:after="0" w:line="360" w:lineRule="auto"/>
        <w:ind w:left="426"/>
        <w:jc w:val="both"/>
        <w:rPr>
          <w:rFonts w:ascii="Palatino Linotype" w:hAnsi="Palatino Linotype" w:cs="Arial"/>
          <w:sz w:val="24"/>
          <w:szCs w:val="24"/>
        </w:rPr>
      </w:pPr>
    </w:p>
    <w:p w:rsidR="001260AB" w:rsidRPr="001260AB" w:rsidRDefault="00C7250F" w:rsidP="006117A6">
      <w:pPr>
        <w:pStyle w:val="Prrafodelista"/>
        <w:numPr>
          <w:ilvl w:val="0"/>
          <w:numId w:val="1"/>
        </w:numPr>
        <w:spacing w:before="240" w:after="240" w:line="360" w:lineRule="auto"/>
        <w:ind w:right="49"/>
        <w:jc w:val="both"/>
        <w:rPr>
          <w:rFonts w:ascii="Palatino Linotype" w:hAnsi="Palatino Linotype" w:cs="Arial"/>
          <w:sz w:val="24"/>
          <w:szCs w:val="24"/>
        </w:rPr>
      </w:pPr>
      <w:r w:rsidRPr="0009123A">
        <w:rPr>
          <w:rFonts w:ascii="Palatino Linotype" w:hAnsi="Palatino Linotype" w:cs="Arial"/>
          <w:sz w:val="24"/>
          <w:szCs w:val="24"/>
        </w:rPr>
        <w:t xml:space="preserve">El sentido de la Resolución puntualmente determina </w:t>
      </w:r>
      <w:r w:rsidR="00412655">
        <w:rPr>
          <w:rFonts w:ascii="Palatino Linotype" w:hAnsi="Palatino Linotype" w:cs="Arial"/>
          <w:b/>
          <w:sz w:val="24"/>
          <w:szCs w:val="24"/>
        </w:rPr>
        <w:t>SOBRESEER el recurso de revisión porque al modificar la respuesta, el recurso de revisión quedó sin materia.</w:t>
      </w:r>
      <w:r w:rsidR="00C44747">
        <w:rPr>
          <w:rFonts w:ascii="Palatino Linotype" w:hAnsi="Palatino Linotype" w:cs="Arial"/>
          <w:b/>
          <w:sz w:val="24"/>
          <w:szCs w:val="24"/>
        </w:rPr>
        <w:t xml:space="preserve"> </w:t>
      </w:r>
    </w:p>
    <w:p w:rsidR="001260AB" w:rsidRPr="001260AB" w:rsidRDefault="001260AB" w:rsidP="001260AB">
      <w:pPr>
        <w:pStyle w:val="Prrafodelista"/>
        <w:rPr>
          <w:rFonts w:ascii="Palatino Linotype" w:hAnsi="Palatino Linotype" w:cs="Arial"/>
          <w:sz w:val="24"/>
          <w:szCs w:val="24"/>
        </w:rPr>
      </w:pPr>
    </w:p>
    <w:p w:rsidR="00AD1F13" w:rsidRPr="00AD1F13" w:rsidRDefault="00AD1F13" w:rsidP="00773944">
      <w:pPr>
        <w:pStyle w:val="Prrafodelista"/>
        <w:numPr>
          <w:ilvl w:val="0"/>
          <w:numId w:val="1"/>
        </w:numPr>
        <w:spacing w:line="360" w:lineRule="auto"/>
        <w:jc w:val="both"/>
        <w:rPr>
          <w:rFonts w:ascii="Palatino Linotype" w:hAnsi="Palatino Linotype" w:cs="Arial"/>
          <w:sz w:val="24"/>
          <w:szCs w:val="24"/>
        </w:rPr>
      </w:pPr>
      <w:r w:rsidRPr="00AD1F13">
        <w:rPr>
          <w:rFonts w:ascii="Palatino Linotype" w:hAnsi="Palatino Linotype" w:cs="Arial"/>
          <w:sz w:val="24"/>
          <w:szCs w:val="24"/>
        </w:rPr>
        <w:t>Mi voto particular se deriva del hecho de que en el estudio del proyecto de resolución</w:t>
      </w:r>
      <w:r>
        <w:rPr>
          <w:rFonts w:ascii="Palatino Linotype" w:hAnsi="Palatino Linotype" w:cs="Arial"/>
          <w:sz w:val="24"/>
          <w:szCs w:val="24"/>
        </w:rPr>
        <w:t>,</w:t>
      </w:r>
      <w:r w:rsidRPr="00AD1F13">
        <w:rPr>
          <w:rFonts w:ascii="Palatino Linotype" w:hAnsi="Palatino Linotype" w:cs="Arial"/>
          <w:sz w:val="24"/>
          <w:szCs w:val="24"/>
        </w:rPr>
        <w:t xml:space="preserve"> </w:t>
      </w:r>
      <w:r w:rsidRPr="00F9357D">
        <w:rPr>
          <w:rFonts w:ascii="Palatino Linotype" w:hAnsi="Palatino Linotype" w:cs="Arial"/>
          <w:sz w:val="24"/>
          <w:szCs w:val="24"/>
        </w:rPr>
        <w:t>hayan invocado los</w:t>
      </w:r>
      <w:r w:rsidR="001260AB" w:rsidRPr="00F9357D">
        <w:rPr>
          <w:rFonts w:ascii="Palatino Linotype" w:hAnsi="Palatino Linotype" w:cs="Arial"/>
          <w:sz w:val="24"/>
          <w:szCs w:val="24"/>
        </w:rPr>
        <w:t xml:space="preserve"> denominados actos consentidos, toda vez que </w:t>
      </w:r>
      <w:r w:rsidR="00F9357D">
        <w:rPr>
          <w:rFonts w:ascii="Palatino Linotype" w:hAnsi="Palatino Linotype" w:cs="Arial"/>
          <w:sz w:val="24"/>
          <w:szCs w:val="24"/>
        </w:rPr>
        <w:t>se omitió</w:t>
      </w:r>
      <w:r w:rsidR="001260AB" w:rsidRPr="00F9357D">
        <w:rPr>
          <w:rFonts w:ascii="Palatino Linotype" w:hAnsi="Palatino Linotype" w:cs="Arial"/>
          <w:sz w:val="24"/>
          <w:szCs w:val="24"/>
        </w:rPr>
        <w:t xml:space="preserve"> entrar al estudio de los requerimientos </w:t>
      </w:r>
      <w:r w:rsidR="00F9357D">
        <w:rPr>
          <w:rFonts w:ascii="Palatino Linotype" w:hAnsi="Palatino Linotype" w:cs="Arial"/>
          <w:sz w:val="24"/>
          <w:szCs w:val="24"/>
        </w:rPr>
        <w:t>plasmados en la solicit</w:t>
      </w:r>
      <w:r w:rsidR="006A21B1">
        <w:rPr>
          <w:rFonts w:ascii="Palatino Linotype" w:hAnsi="Palatino Linotype" w:cs="Arial"/>
          <w:sz w:val="24"/>
          <w:szCs w:val="24"/>
        </w:rPr>
        <w:t xml:space="preserve">ud de acceso a la información </w:t>
      </w:r>
      <w:r w:rsidR="00F9357D">
        <w:rPr>
          <w:rFonts w:ascii="Palatino Linotype" w:hAnsi="Palatino Linotype" w:cs="Arial"/>
          <w:sz w:val="24"/>
          <w:szCs w:val="24"/>
        </w:rPr>
        <w:t xml:space="preserve">que </w:t>
      </w:r>
      <w:r w:rsidR="00F9357D" w:rsidRPr="00F9357D">
        <w:rPr>
          <w:rFonts w:ascii="Palatino Linotype" w:hAnsi="Palatino Linotype" w:cs="Arial"/>
          <w:b/>
          <w:sz w:val="24"/>
          <w:szCs w:val="24"/>
        </w:rPr>
        <w:t>no</w:t>
      </w:r>
      <w:r w:rsidR="00F9357D">
        <w:rPr>
          <w:rFonts w:ascii="Palatino Linotype" w:hAnsi="Palatino Linotype" w:cs="Arial"/>
          <w:sz w:val="24"/>
          <w:szCs w:val="24"/>
        </w:rPr>
        <w:t xml:space="preserve"> </w:t>
      </w:r>
      <w:r w:rsidR="001260AB" w:rsidRPr="00F9357D">
        <w:rPr>
          <w:rFonts w:ascii="Palatino Linotype" w:hAnsi="Palatino Linotype" w:cs="Arial"/>
          <w:sz w:val="24"/>
          <w:szCs w:val="24"/>
        </w:rPr>
        <w:t xml:space="preserve">fueron </w:t>
      </w:r>
      <w:r w:rsidR="00F9357D">
        <w:rPr>
          <w:rFonts w:ascii="Palatino Linotype" w:hAnsi="Palatino Linotype" w:cs="Arial"/>
          <w:sz w:val="24"/>
          <w:szCs w:val="24"/>
        </w:rPr>
        <w:t>recurridos</w:t>
      </w:r>
      <w:r w:rsidR="001260AB" w:rsidRPr="00F9357D">
        <w:rPr>
          <w:rFonts w:ascii="Palatino Linotype" w:hAnsi="Palatino Linotype" w:cs="Arial"/>
          <w:sz w:val="24"/>
          <w:szCs w:val="24"/>
        </w:rPr>
        <w:t xml:space="preserve"> en el recurso de revisión.</w:t>
      </w:r>
    </w:p>
    <w:p w:rsidR="00AD1F13" w:rsidRDefault="00AD1F13" w:rsidP="00AD1F13">
      <w:pPr>
        <w:pStyle w:val="Prrafodelista"/>
        <w:spacing w:line="360" w:lineRule="auto"/>
        <w:ind w:left="360"/>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jc w:val="both"/>
        <w:rPr>
          <w:rFonts w:ascii="Palatino Linotype" w:hAnsi="Palatino Linotype" w:cs="Arial"/>
          <w:sz w:val="24"/>
          <w:szCs w:val="24"/>
        </w:rPr>
      </w:pPr>
      <w:r w:rsidRPr="0009123A">
        <w:rPr>
          <w:rFonts w:ascii="Palatino Linotype" w:hAnsi="Palatino Linotype" w:cs="Arial"/>
          <w:sz w:val="24"/>
          <w:szCs w:val="24"/>
        </w:rPr>
        <w:t xml:space="preserve">Por tal motivo y en términos de lo señalado por los artículos </w:t>
      </w:r>
      <w:r w:rsidR="00AA49F3" w:rsidRPr="0009123A">
        <w:rPr>
          <w:rFonts w:ascii="Palatino Linotype" w:hAnsi="Palatino Linotype" w:cs="Arial"/>
          <w:sz w:val="24"/>
          <w:szCs w:val="24"/>
        </w:rPr>
        <w:t>14</w:t>
      </w:r>
      <w:r w:rsidRPr="0009123A">
        <w:rPr>
          <w:rFonts w:ascii="Palatino Linotype" w:hAnsi="Palatino Linotype" w:cs="Arial"/>
          <w:sz w:val="24"/>
          <w:szCs w:val="24"/>
        </w:rPr>
        <w:t xml:space="preserve"> fracción </w:t>
      </w:r>
      <w:r w:rsidR="00AA49F3" w:rsidRPr="0009123A">
        <w:rPr>
          <w:rFonts w:ascii="Palatino Linotype" w:hAnsi="Palatino Linotype" w:cs="Arial"/>
          <w:sz w:val="24"/>
          <w:szCs w:val="24"/>
        </w:rPr>
        <w:t>XI</w:t>
      </w:r>
      <w:r w:rsidRPr="0009123A">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2" w:name="_Toc8149936"/>
      <w:r w:rsidRPr="0009123A">
        <w:rPr>
          <w:rFonts w:ascii="Palatino Linotype" w:hAnsi="Palatino Linotype"/>
          <w:b/>
          <w:color w:val="auto"/>
          <w:sz w:val="24"/>
          <w:szCs w:val="24"/>
        </w:rPr>
        <w:lastRenderedPageBreak/>
        <w:t>De los requerimientos planteados en el recurso de revisión.</w:t>
      </w:r>
      <w:bookmarkEnd w:id="2"/>
    </w:p>
    <w:p w:rsidR="0046491C" w:rsidRPr="0009123A" w:rsidRDefault="0046491C" w:rsidP="00E34F08">
      <w:pPr>
        <w:pStyle w:val="Prrafodelista"/>
        <w:spacing w:line="360" w:lineRule="auto"/>
        <w:ind w:left="1080"/>
        <w:jc w:val="both"/>
        <w:rPr>
          <w:rFonts w:ascii="Palatino Linotype" w:hAnsi="Palatino Linotype" w:cs="Arial"/>
          <w:sz w:val="24"/>
          <w:szCs w:val="24"/>
        </w:rPr>
      </w:pPr>
    </w:p>
    <w:p w:rsidR="00412655" w:rsidRPr="00412655" w:rsidRDefault="009D2892" w:rsidP="006A21B1">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9123A">
        <w:rPr>
          <w:rFonts w:ascii="Palatino Linotype" w:hAnsi="Palatino Linotype" w:cs="Arial"/>
          <w:sz w:val="24"/>
          <w:szCs w:val="24"/>
        </w:rPr>
        <w:t>La parte recurrente</w:t>
      </w:r>
      <w:r w:rsidR="006A21B1">
        <w:rPr>
          <w:rFonts w:ascii="Palatino Linotype" w:hAnsi="Palatino Linotype" w:cs="Arial"/>
          <w:sz w:val="24"/>
          <w:szCs w:val="24"/>
        </w:rPr>
        <w:t xml:space="preserve"> solicitó</w:t>
      </w:r>
      <w:r w:rsidR="00412655">
        <w:rPr>
          <w:rFonts w:ascii="Palatino Linotype" w:hAnsi="Palatino Linotype" w:cs="Arial"/>
          <w:sz w:val="24"/>
          <w:szCs w:val="24"/>
        </w:rPr>
        <w:t xml:space="preserve"> lo siguiente:</w:t>
      </w:r>
    </w:p>
    <w:p w:rsidR="00412655" w:rsidRPr="00412655" w:rsidRDefault="00412655" w:rsidP="00412655">
      <w:pPr>
        <w:pStyle w:val="Prrafodelista"/>
        <w:numPr>
          <w:ilvl w:val="0"/>
          <w:numId w:val="28"/>
        </w:numPr>
        <w:spacing w:after="0" w:line="360" w:lineRule="auto"/>
        <w:jc w:val="both"/>
        <w:rPr>
          <w:rFonts w:ascii="Palatino Linotype" w:eastAsia="Times New Roman" w:hAnsi="Palatino Linotype" w:cs="Times New Roman"/>
          <w:sz w:val="28"/>
          <w:szCs w:val="24"/>
          <w:lang w:val="es-ES_tradnl" w:eastAsia="es-ES"/>
        </w:rPr>
      </w:pPr>
      <w:r w:rsidRPr="00412655">
        <w:rPr>
          <w:rFonts w:ascii="Palatino Linotype" w:hAnsi="Palatino Linotype" w:cs="Arial"/>
          <w:sz w:val="24"/>
        </w:rPr>
        <w:t>Reglamento de seguridad pública;</w:t>
      </w:r>
    </w:p>
    <w:p w:rsidR="00412655" w:rsidRPr="00412655" w:rsidRDefault="00412655" w:rsidP="00412655">
      <w:pPr>
        <w:pStyle w:val="Prrafodelista"/>
        <w:numPr>
          <w:ilvl w:val="0"/>
          <w:numId w:val="28"/>
        </w:numPr>
        <w:spacing w:after="0" w:line="360" w:lineRule="auto"/>
        <w:jc w:val="both"/>
        <w:rPr>
          <w:rFonts w:ascii="Palatino Linotype" w:eastAsia="Times New Roman" w:hAnsi="Palatino Linotype" w:cs="Times New Roman"/>
          <w:sz w:val="28"/>
          <w:szCs w:val="24"/>
          <w:lang w:val="es-ES_tradnl" w:eastAsia="es-ES"/>
        </w:rPr>
      </w:pPr>
      <w:r w:rsidRPr="00412655">
        <w:rPr>
          <w:rFonts w:ascii="Palatino Linotype" w:hAnsi="Palatino Linotype" w:cs="Arial"/>
          <w:sz w:val="24"/>
        </w:rPr>
        <w:t>Reglamento municipal de protección civil;</w:t>
      </w:r>
    </w:p>
    <w:p w:rsidR="00412655" w:rsidRPr="00412655" w:rsidRDefault="00412655" w:rsidP="00412655">
      <w:pPr>
        <w:pStyle w:val="Prrafodelista"/>
        <w:numPr>
          <w:ilvl w:val="0"/>
          <w:numId w:val="28"/>
        </w:numPr>
        <w:spacing w:after="0" w:line="360" w:lineRule="auto"/>
        <w:jc w:val="both"/>
        <w:rPr>
          <w:rFonts w:ascii="Palatino Linotype" w:eastAsia="Times New Roman" w:hAnsi="Palatino Linotype" w:cs="Times New Roman"/>
          <w:sz w:val="28"/>
          <w:szCs w:val="24"/>
          <w:lang w:val="es-ES_tradnl" w:eastAsia="es-ES"/>
        </w:rPr>
      </w:pPr>
      <w:r w:rsidRPr="00412655">
        <w:rPr>
          <w:rFonts w:ascii="Palatino Linotype" w:hAnsi="Palatino Linotype" w:cs="Arial"/>
          <w:sz w:val="24"/>
        </w:rPr>
        <w:t>Reglamento industrial, comercial y de servicios;</w:t>
      </w:r>
    </w:p>
    <w:p w:rsidR="00412655" w:rsidRPr="00412655" w:rsidRDefault="00412655" w:rsidP="00412655">
      <w:pPr>
        <w:pStyle w:val="Prrafodelista"/>
        <w:numPr>
          <w:ilvl w:val="0"/>
          <w:numId w:val="28"/>
        </w:numPr>
        <w:spacing w:after="0" w:line="360" w:lineRule="auto"/>
        <w:jc w:val="both"/>
        <w:rPr>
          <w:rFonts w:ascii="Palatino Linotype" w:eastAsia="Times New Roman" w:hAnsi="Palatino Linotype" w:cs="Times New Roman"/>
          <w:sz w:val="28"/>
          <w:szCs w:val="24"/>
          <w:lang w:val="es-ES_tradnl" w:eastAsia="es-ES"/>
        </w:rPr>
      </w:pPr>
      <w:r w:rsidRPr="00412655">
        <w:rPr>
          <w:rFonts w:ascii="Palatino Linotype" w:hAnsi="Palatino Linotype" w:cs="Arial"/>
          <w:sz w:val="24"/>
        </w:rPr>
        <w:t>Reglamento de vía pública; y,</w:t>
      </w:r>
    </w:p>
    <w:p w:rsidR="00412655" w:rsidRPr="00412655" w:rsidRDefault="00412655" w:rsidP="00412655">
      <w:pPr>
        <w:pStyle w:val="Prrafodelista"/>
        <w:numPr>
          <w:ilvl w:val="0"/>
          <w:numId w:val="28"/>
        </w:numPr>
        <w:spacing w:after="0" w:line="360" w:lineRule="auto"/>
        <w:jc w:val="both"/>
        <w:rPr>
          <w:rFonts w:ascii="Palatino Linotype" w:eastAsia="Times New Roman" w:hAnsi="Palatino Linotype" w:cs="Times New Roman"/>
          <w:sz w:val="28"/>
          <w:szCs w:val="24"/>
          <w:lang w:val="es-ES_tradnl" w:eastAsia="es-ES"/>
        </w:rPr>
      </w:pPr>
      <w:r w:rsidRPr="00412655">
        <w:rPr>
          <w:rFonts w:ascii="Palatino Linotype" w:hAnsi="Palatino Linotype" w:cs="Arial"/>
          <w:sz w:val="24"/>
        </w:rPr>
        <w:t>Reglamento de espectáculos.</w:t>
      </w:r>
    </w:p>
    <w:p w:rsidR="00412655" w:rsidRPr="00412655" w:rsidRDefault="00412655" w:rsidP="00412655">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412655" w:rsidRDefault="00B26501" w:rsidP="00412655">
      <w:pPr>
        <w:pStyle w:val="Prrafodelista"/>
        <w:numPr>
          <w:ilvl w:val="0"/>
          <w:numId w:val="1"/>
        </w:numPr>
        <w:tabs>
          <w:tab w:val="left" w:pos="4962"/>
        </w:tabs>
        <w:spacing w:line="360" w:lineRule="auto"/>
        <w:jc w:val="both"/>
        <w:rPr>
          <w:rFonts w:ascii="Palatino Linotype" w:hAnsi="Palatino Linotype" w:cs="Arial"/>
        </w:rPr>
      </w:pPr>
      <w:r w:rsidRPr="00B26501">
        <w:rPr>
          <w:rFonts w:ascii="Palatino Linotype" w:hAnsi="Palatino Linotype" w:cs="Arial"/>
        </w:rPr>
        <w:t xml:space="preserve">En respuesta el sujeto obligado </w:t>
      </w:r>
      <w:r w:rsidR="006A21B1">
        <w:rPr>
          <w:rFonts w:ascii="Palatino Linotype" w:hAnsi="Palatino Linotype" w:cs="Arial"/>
        </w:rPr>
        <w:t xml:space="preserve">remitió </w:t>
      </w:r>
      <w:r w:rsidR="00412655">
        <w:rPr>
          <w:rFonts w:ascii="Palatino Linotype" w:hAnsi="Palatino Linotype" w:cs="Arial"/>
        </w:rPr>
        <w:t xml:space="preserve">diversos reglamentos. </w:t>
      </w:r>
      <w:r w:rsidR="00BD19AB" w:rsidRPr="00412655">
        <w:rPr>
          <w:rFonts w:ascii="Palatino Linotype" w:hAnsi="Palatino Linotype" w:cs="Arial"/>
        </w:rPr>
        <w:t xml:space="preserve">El recurrente se inconformó porque </w:t>
      </w:r>
      <w:r w:rsidR="00412655">
        <w:rPr>
          <w:rFonts w:ascii="Palatino Linotype" w:hAnsi="Palatino Linotype" w:cs="Arial"/>
        </w:rPr>
        <w:t>no se proporcionó el reglamento de protección civil.</w:t>
      </w:r>
    </w:p>
    <w:p w:rsidR="006A21B1" w:rsidRPr="006A21B1" w:rsidRDefault="00412655" w:rsidP="00412655">
      <w:pPr>
        <w:pStyle w:val="Prrafodelista"/>
        <w:tabs>
          <w:tab w:val="left" w:pos="4962"/>
        </w:tabs>
        <w:spacing w:line="360" w:lineRule="auto"/>
        <w:ind w:left="360"/>
        <w:jc w:val="both"/>
        <w:rPr>
          <w:rFonts w:ascii="Palatino Linotype" w:hAnsi="Palatino Linotype" w:cs="Arial"/>
        </w:rPr>
      </w:pPr>
      <w:r w:rsidRPr="006A21B1">
        <w:rPr>
          <w:rFonts w:ascii="Palatino Linotype" w:hAnsi="Palatino Linotype" w:cs="Arial"/>
        </w:rPr>
        <w:t xml:space="preserve"> </w:t>
      </w: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Si bien es de destacar, </w:t>
      </w:r>
      <w:r w:rsidR="00AE4797" w:rsidRPr="0009123A">
        <w:rPr>
          <w:rFonts w:ascii="Palatino Linotype" w:hAnsi="Palatino Linotype" w:cs="Arial"/>
          <w:sz w:val="24"/>
          <w:szCs w:val="24"/>
        </w:rPr>
        <w:t>que el Sujeto Obligado atiende la solicitud</w:t>
      </w:r>
      <w:r w:rsidR="00643C7E" w:rsidRPr="0009123A">
        <w:rPr>
          <w:rFonts w:ascii="Palatino Linotype" w:hAnsi="Palatino Linotype" w:cs="Arial"/>
          <w:sz w:val="24"/>
          <w:szCs w:val="24"/>
        </w:rPr>
        <w:t xml:space="preserve">, también lo es que el recurrente no se inconformó sobre la totalidad de la respuesta, </w:t>
      </w:r>
      <w:r w:rsidR="00FC5012" w:rsidRPr="0009123A">
        <w:rPr>
          <w:rFonts w:ascii="Palatino Linotype" w:hAnsi="Palatino Linotype" w:cs="Arial"/>
          <w:sz w:val="24"/>
          <w:szCs w:val="24"/>
        </w:rPr>
        <w:t xml:space="preserve">sin embargo, </w:t>
      </w:r>
      <w:r w:rsidRPr="0009123A">
        <w:rPr>
          <w:rFonts w:ascii="Palatino Linotype" w:hAnsi="Palatino Linotype" w:cs="Arial"/>
          <w:sz w:val="24"/>
          <w:szCs w:val="24"/>
        </w:rPr>
        <w:t xml:space="preserve">en el estudio y desarrollo de dicha resolución fueron invocados los llamados </w:t>
      </w:r>
      <w:r w:rsidR="006D268B" w:rsidRPr="0009123A">
        <w:rPr>
          <w:rFonts w:ascii="Palatino Linotype" w:hAnsi="Palatino Linotype" w:cs="Arial"/>
          <w:sz w:val="24"/>
          <w:szCs w:val="24"/>
        </w:rPr>
        <w:t>“</w:t>
      </w:r>
      <w:r w:rsidRPr="0009123A">
        <w:rPr>
          <w:rFonts w:ascii="Palatino Linotype" w:hAnsi="Palatino Linotype" w:cs="Arial"/>
          <w:sz w:val="24"/>
          <w:szCs w:val="24"/>
        </w:rPr>
        <w:t>actos consentidos</w:t>
      </w:r>
      <w:r w:rsidR="006D268B" w:rsidRPr="0009123A">
        <w:rPr>
          <w:rFonts w:ascii="Palatino Linotype" w:hAnsi="Palatino Linotype" w:cs="Arial"/>
          <w:sz w:val="24"/>
          <w:szCs w:val="24"/>
        </w:rPr>
        <w:t>”</w:t>
      </w:r>
      <w:r w:rsidRPr="0009123A">
        <w:rPr>
          <w:rFonts w:ascii="Palatino Linotype" w:hAnsi="Palatino Linotype" w:cs="Arial"/>
          <w:sz w:val="24"/>
          <w:szCs w:val="24"/>
        </w:rPr>
        <w:t>, tal y como se observa en las siguientes líneas de la resolución en comento:</w:t>
      </w:r>
    </w:p>
    <w:p w:rsidR="008702E8" w:rsidRPr="0009123A" w:rsidRDefault="008702E8" w:rsidP="008702E8">
      <w:pPr>
        <w:pStyle w:val="Prrafodelista"/>
        <w:rPr>
          <w:rFonts w:ascii="Palatino Linotype" w:hAnsi="Palatino Linotype" w:cs="Arial"/>
          <w:sz w:val="24"/>
          <w:szCs w:val="24"/>
        </w:rPr>
      </w:pPr>
    </w:p>
    <w:p w:rsidR="00412655" w:rsidRPr="00412655" w:rsidRDefault="0069498B" w:rsidP="00412655">
      <w:pPr>
        <w:spacing w:line="360" w:lineRule="auto"/>
        <w:ind w:left="567" w:right="616"/>
        <w:jc w:val="both"/>
        <w:rPr>
          <w:rFonts w:ascii="Palatino Linotype" w:eastAsiaTheme="minorEastAsia" w:hAnsi="Palatino Linotype" w:cs="Arial"/>
          <w:i/>
          <w:lang w:val="es-ES_tradnl"/>
        </w:rPr>
      </w:pPr>
      <w:r w:rsidRPr="00412655">
        <w:rPr>
          <w:rFonts w:ascii="Palatino Linotype" w:hAnsi="Palatino Linotype" w:cs="Arial"/>
          <w:i/>
          <w:szCs w:val="24"/>
        </w:rPr>
        <w:t>“</w:t>
      </w:r>
      <w:r w:rsidR="00412655" w:rsidRPr="00412655">
        <w:rPr>
          <w:rFonts w:ascii="Palatino Linotype" w:eastAsiaTheme="minorEastAsia" w:hAnsi="Palatino Linotype" w:cs="Arial"/>
          <w:i/>
          <w:lang w:val="es-ES_tradnl"/>
        </w:rPr>
        <w:t xml:space="preserve">Bajo este tenor, la parte de la respuesta que no fue impugnada debe declararse consentida, toda vez que al no realizar manifestaciones de inconformidad respecto de la respuesta proporcionada por la Tesorería Municipal en la que se advierte el presupuesto anual solicitado; no pueden producirse efectos jurídicos tendentes a revocar, confirmar o modificar el acto reclamado, ya que no realizó manifestación alguna al respecto. </w:t>
      </w:r>
    </w:p>
    <w:p w:rsidR="00412655" w:rsidRPr="00412655" w:rsidRDefault="00412655" w:rsidP="00412655">
      <w:pPr>
        <w:spacing w:line="360" w:lineRule="auto"/>
        <w:ind w:left="567" w:right="616"/>
        <w:jc w:val="both"/>
        <w:rPr>
          <w:rFonts w:ascii="Palatino Linotype" w:eastAsiaTheme="minorEastAsia" w:hAnsi="Palatino Linotype" w:cs="Arial"/>
          <w:i/>
          <w:lang w:val="es-ES_tradnl"/>
        </w:rPr>
      </w:pPr>
    </w:p>
    <w:p w:rsidR="00412655" w:rsidRPr="00412655" w:rsidRDefault="00412655" w:rsidP="00412655">
      <w:pPr>
        <w:spacing w:line="360" w:lineRule="auto"/>
        <w:ind w:left="567" w:right="616"/>
        <w:jc w:val="both"/>
        <w:rPr>
          <w:rFonts w:ascii="Palatino Linotype" w:eastAsiaTheme="minorEastAsia" w:hAnsi="Palatino Linotype" w:cs="Arial"/>
          <w:i/>
          <w:lang w:val="es-ES_tradnl"/>
        </w:rPr>
      </w:pPr>
      <w:r w:rsidRPr="00412655">
        <w:rPr>
          <w:rFonts w:ascii="Palatino Linotype" w:eastAsiaTheme="minorEastAsia" w:hAnsi="Palatino Linotype" w:cs="Arial"/>
          <w:i/>
          <w:lang w:val="es-ES_tradnl"/>
        </w:rPr>
        <w:t>Sirve de sustento, la tesis jurisprudencial número VI.3o.C. J/60, publicada en el Semanario Judicial de la Federación y su Gaceta bajo el número de registro 176,608 que a la letra dice:</w:t>
      </w:r>
    </w:p>
    <w:p w:rsidR="00412655" w:rsidRPr="00412655" w:rsidRDefault="00412655" w:rsidP="00412655">
      <w:pPr>
        <w:ind w:left="567" w:right="616"/>
        <w:jc w:val="both"/>
        <w:rPr>
          <w:rFonts w:ascii="Palatino Linotype" w:eastAsiaTheme="minorEastAsia" w:hAnsi="Palatino Linotype" w:cs="Arial"/>
          <w:i/>
          <w:lang w:val="es-ES_tradnl"/>
        </w:rPr>
      </w:pPr>
    </w:p>
    <w:p w:rsidR="00412655" w:rsidRPr="00412655" w:rsidRDefault="00412655" w:rsidP="00412655">
      <w:pPr>
        <w:tabs>
          <w:tab w:val="left" w:pos="851"/>
        </w:tabs>
        <w:ind w:left="567" w:right="616"/>
        <w:jc w:val="both"/>
        <w:rPr>
          <w:rFonts w:ascii="Palatino Linotype" w:eastAsiaTheme="minorEastAsia" w:hAnsi="Palatino Linotype"/>
          <w:i/>
          <w:szCs w:val="20"/>
          <w:lang w:val="es-ES_tradnl"/>
        </w:rPr>
      </w:pPr>
      <w:r w:rsidRPr="00412655">
        <w:rPr>
          <w:rFonts w:ascii="Palatino Linotype" w:eastAsiaTheme="minorEastAsia" w:hAnsi="Palatino Linotype"/>
          <w:b/>
          <w:bCs/>
          <w:i/>
          <w:szCs w:val="20"/>
          <w:lang w:val="es-ES_tradnl"/>
        </w:rPr>
        <w:t xml:space="preserve">“ACTOS CONSENTIDOS. SON LOS QUE NO SE IMPUGNAN MEDIANTE EL RECURSO IDÓNEO. </w:t>
      </w:r>
      <w:r w:rsidRPr="00412655">
        <w:rPr>
          <w:rFonts w:ascii="Palatino Linotype" w:eastAsiaTheme="minorEastAsia" w:hAnsi="Palatino Linotype"/>
          <w:i/>
          <w:szCs w:val="20"/>
          <w:lang w:val="es-ES_tradnl"/>
        </w:rPr>
        <w:t xml:space="preserve">Debe reputarse como consentido el acto que no se </w:t>
      </w:r>
      <w:r w:rsidRPr="00412655">
        <w:rPr>
          <w:rFonts w:ascii="Palatino Linotype" w:eastAsiaTheme="minorEastAsia" w:hAnsi="Palatino Linotype" w:cs="Arial"/>
          <w:i/>
          <w:lang w:val="es-ES_tradnl"/>
        </w:rPr>
        <w:t>impugnó</w:t>
      </w:r>
      <w:r w:rsidRPr="00412655">
        <w:rPr>
          <w:rFonts w:ascii="Palatino Linotype" w:eastAsiaTheme="minorEastAsia" w:hAnsi="Palatino Linotype"/>
          <w:i/>
          <w:szCs w:val="20"/>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12655" w:rsidRPr="00412655" w:rsidRDefault="00412655" w:rsidP="00412655">
      <w:pPr>
        <w:ind w:left="567" w:right="616"/>
        <w:jc w:val="both"/>
        <w:rPr>
          <w:rFonts w:ascii="Palatino Linotype" w:eastAsiaTheme="minorEastAsia" w:hAnsi="Palatino Linotype"/>
          <w:i/>
          <w:sz w:val="20"/>
          <w:szCs w:val="20"/>
          <w:lang w:val="es-ES_tradnl"/>
        </w:rPr>
      </w:pPr>
    </w:p>
    <w:p w:rsidR="00412655" w:rsidRPr="00412655" w:rsidRDefault="00412655" w:rsidP="00412655">
      <w:pPr>
        <w:spacing w:line="360" w:lineRule="auto"/>
        <w:ind w:left="567" w:right="616"/>
        <w:jc w:val="both"/>
        <w:rPr>
          <w:rFonts w:ascii="Palatino Linotype" w:eastAsiaTheme="minorEastAsia" w:hAnsi="Palatino Linotype"/>
          <w:i/>
          <w:lang w:val="es-ES_tradnl"/>
        </w:rPr>
      </w:pPr>
      <w:r w:rsidRPr="00412655">
        <w:rPr>
          <w:rFonts w:ascii="Palatino Linotype" w:eastAsiaTheme="minorEastAsia" w:hAnsi="Palatino Linotype"/>
          <w:i/>
          <w:lang w:val="es-ES_tradnl"/>
        </w:rPr>
        <w:t xml:space="preserve">Lo anterior es así, debido a que cuando </w:t>
      </w:r>
      <w:r w:rsidRPr="00412655">
        <w:rPr>
          <w:rFonts w:ascii="Palatino Linotype" w:eastAsiaTheme="minorEastAsia" w:hAnsi="Palatino Linotype"/>
          <w:b/>
          <w:i/>
          <w:lang w:val="es-ES_tradnl"/>
        </w:rPr>
        <w:t xml:space="preserve">EL RECURRENTE </w:t>
      </w:r>
      <w:r w:rsidRPr="00412655">
        <w:rPr>
          <w:rFonts w:ascii="Palatino Linotype" w:eastAsiaTheme="minorEastAsia" w:hAnsi="Palatino Linotype"/>
          <w:i/>
          <w:lang w:val="es-ES_tradnl"/>
        </w:rPr>
        <w:t xml:space="preserve">impugnó la respuesta del </w:t>
      </w:r>
      <w:r w:rsidRPr="00412655">
        <w:rPr>
          <w:rFonts w:ascii="Palatino Linotype" w:eastAsiaTheme="minorEastAsia" w:hAnsi="Palatino Linotype"/>
          <w:b/>
          <w:i/>
          <w:lang w:val="es-ES_tradnl"/>
        </w:rPr>
        <w:t>SUJETO OBLIGADO</w:t>
      </w:r>
      <w:r w:rsidRPr="00412655">
        <w:rPr>
          <w:rFonts w:ascii="Palatino Linotype" w:eastAsiaTheme="minorEastAsia" w:hAnsi="Palatino Linotype"/>
          <w:i/>
          <w:lang w:val="es-ES_tradnl"/>
        </w:rPr>
        <w:t xml:space="preserve">, y no expresó razón o motivo de inconformidad en contra de todos los rubros solicitados, dichos rubros deben declararse atendidos, pues se entiende que </w:t>
      </w:r>
      <w:r w:rsidRPr="00412655">
        <w:rPr>
          <w:rFonts w:ascii="Palatino Linotype" w:eastAsiaTheme="minorEastAsia" w:hAnsi="Palatino Linotype"/>
          <w:b/>
          <w:i/>
          <w:lang w:val="es-ES_tradnl"/>
        </w:rPr>
        <w:t>EL RECURRENTE</w:t>
      </w:r>
      <w:r w:rsidRPr="00412655">
        <w:rPr>
          <w:rFonts w:ascii="Palatino Linotype" w:eastAsiaTheme="minorEastAsia" w:hAnsi="Palatino Linotype"/>
          <w:i/>
          <w:lang w:val="es-ES_tradnl"/>
        </w:rPr>
        <w:t xml:space="preserve"> está conforme con la información entregada al no contravenir la misma. </w:t>
      </w:r>
    </w:p>
    <w:p w:rsidR="00412655" w:rsidRPr="00412655" w:rsidRDefault="00412655" w:rsidP="00412655">
      <w:pPr>
        <w:spacing w:line="360" w:lineRule="auto"/>
        <w:ind w:left="567" w:right="616"/>
        <w:jc w:val="both"/>
        <w:rPr>
          <w:rFonts w:ascii="Palatino Linotype" w:eastAsiaTheme="minorEastAsia" w:hAnsi="Palatino Linotype"/>
          <w:i/>
          <w:lang w:val="es-ES_tradnl"/>
        </w:rPr>
      </w:pPr>
    </w:p>
    <w:p w:rsidR="00412655" w:rsidRPr="00412655" w:rsidRDefault="00412655" w:rsidP="00412655">
      <w:pPr>
        <w:spacing w:line="360" w:lineRule="auto"/>
        <w:ind w:left="567" w:right="616"/>
        <w:jc w:val="both"/>
        <w:rPr>
          <w:rFonts w:ascii="Palatino Linotype" w:eastAsiaTheme="minorEastAsia" w:hAnsi="Palatino Linotype"/>
          <w:i/>
          <w:lang w:val="es-ES_tradnl"/>
        </w:rPr>
      </w:pPr>
      <w:r w:rsidRPr="00412655">
        <w:rPr>
          <w:rFonts w:ascii="Palatino Linotype" w:eastAsiaTheme="minorEastAsia" w:hAnsi="Palatino Linotype"/>
          <w:i/>
          <w:lang w:val="es-ES_tradnl"/>
        </w:rPr>
        <w:t>Atento a ello, es importante traer a contexto la Tesis Jurisprudencial Número 3ª./J.7/91, Publicada en el Semanario Judicial de la Federación y su Gaceta bajo el número de registro 174,177, que establece lo siguiente:</w:t>
      </w:r>
    </w:p>
    <w:p w:rsidR="00412655" w:rsidRPr="00412655" w:rsidRDefault="00412655" w:rsidP="00412655">
      <w:pPr>
        <w:ind w:left="567" w:right="616"/>
        <w:jc w:val="both"/>
        <w:rPr>
          <w:rFonts w:ascii="Palatino Linotype" w:eastAsiaTheme="minorEastAsia" w:hAnsi="Palatino Linotype"/>
          <w:i/>
          <w:sz w:val="20"/>
          <w:szCs w:val="20"/>
          <w:lang w:val="es-ES_tradnl"/>
        </w:rPr>
      </w:pPr>
    </w:p>
    <w:p w:rsidR="0069498B" w:rsidRPr="00412655" w:rsidRDefault="00412655" w:rsidP="00412655">
      <w:pPr>
        <w:ind w:left="567" w:right="616"/>
        <w:jc w:val="both"/>
        <w:rPr>
          <w:rFonts w:ascii="Palatino Linotype" w:eastAsiaTheme="minorEastAsia" w:hAnsi="Palatino Linotype"/>
          <w:bCs/>
          <w:i/>
          <w:iCs/>
          <w:lang w:val="es-ES_tradnl"/>
        </w:rPr>
      </w:pPr>
      <w:r w:rsidRPr="00412655">
        <w:rPr>
          <w:rFonts w:ascii="Palatino Linotype" w:eastAsiaTheme="minorEastAsia" w:hAnsi="Palatino Linotype"/>
          <w:b/>
          <w:i/>
          <w:lang w:val="es-ES_tradnl"/>
        </w:rPr>
        <w:t xml:space="preserve">“REVISIÓN EN AMPARO. LOS RESOLUTIVOS NO COMBATIDOS DEBEN DECLARARSE FIRMES. </w:t>
      </w:r>
      <w:r w:rsidRPr="00412655">
        <w:rPr>
          <w:rFonts w:ascii="Palatino Linotype" w:eastAsiaTheme="minorEastAsia" w:hAnsi="Palatino Linotype"/>
          <w:bCs/>
          <w:i/>
          <w:iCs/>
          <w:lang w:val="es-ES_tradnl"/>
        </w:rPr>
        <w:t xml:space="preserve">Cuando algún resolutivo de la sentencia impugnada afecta a la recurrente, y ésta no expresa agravio en contra de las consideraciones que le sirven </w:t>
      </w:r>
      <w:r w:rsidRPr="00412655">
        <w:rPr>
          <w:rFonts w:ascii="Palatino Linotype" w:eastAsiaTheme="minorEastAsia" w:hAnsi="Palatino Linotype"/>
          <w:bCs/>
          <w:i/>
          <w:iCs/>
          <w:lang w:val="es-ES_tradnl"/>
        </w:rPr>
        <w:lastRenderedPageBreak/>
        <w:t xml:space="preserve">de base, dicho resolutivo debe declararse firme. Esto es, en el caso referido, no obstante que la materia de la revisión comprende a </w:t>
      </w:r>
      <w:r w:rsidRPr="00412655">
        <w:rPr>
          <w:rFonts w:ascii="Palatino Linotype" w:eastAsiaTheme="minorEastAsia" w:hAnsi="Palatino Linotype"/>
          <w:i/>
          <w:lang w:val="es-ES_tradnl"/>
        </w:rPr>
        <w:t>todos</w:t>
      </w:r>
      <w:r w:rsidRPr="00412655">
        <w:rPr>
          <w:rFonts w:ascii="Palatino Linotype" w:eastAsiaTheme="minorEastAsia"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00DA472B" w:rsidRPr="00412655">
        <w:rPr>
          <w:rFonts w:ascii="Palatino Linotype" w:eastAsia="Calibri" w:hAnsi="Palatino Linotype" w:cs="Tahoma"/>
          <w:i/>
          <w:iCs/>
          <w:szCs w:val="24"/>
          <w:lang w:val="es-ES" w:eastAsia="es-ES_tradnl"/>
        </w:rPr>
        <w:t xml:space="preserve"> (Sic)</w:t>
      </w:r>
    </w:p>
    <w:p w:rsidR="003A21FE" w:rsidRPr="00BD19AB" w:rsidRDefault="003A21FE" w:rsidP="00BD19AB">
      <w:pPr>
        <w:shd w:val="clear" w:color="auto" w:fill="FFFFFF"/>
        <w:ind w:left="567" w:right="616"/>
        <w:jc w:val="both"/>
        <w:rPr>
          <w:rFonts w:ascii="Palatino Linotype" w:hAnsi="Palatino Linotype" w:cs="Arial"/>
          <w:i/>
          <w:iCs/>
        </w:rPr>
      </w:pPr>
    </w:p>
    <w:p w:rsidR="00BF2070" w:rsidRPr="006E542C" w:rsidRDefault="008460C4" w:rsidP="00CD77FA">
      <w:pPr>
        <w:pStyle w:val="Prrafodelista"/>
        <w:numPr>
          <w:ilvl w:val="0"/>
          <w:numId w:val="1"/>
        </w:numPr>
        <w:spacing w:before="240" w:after="240" w:line="360" w:lineRule="auto"/>
        <w:ind w:right="49"/>
        <w:jc w:val="both"/>
        <w:rPr>
          <w:rFonts w:ascii="Palatino Linotype" w:hAnsi="Palatino Linotype" w:cs="Arial"/>
          <w:sz w:val="24"/>
          <w:szCs w:val="24"/>
        </w:rPr>
      </w:pPr>
      <w:r w:rsidRPr="006E542C">
        <w:rPr>
          <w:rFonts w:ascii="Palatino Linotype" w:hAnsi="Palatino Linotype" w:cs="Arial"/>
          <w:sz w:val="24"/>
          <w:szCs w:val="24"/>
        </w:rPr>
        <w:t>He de manifestar que han sido varias las ocasiones en las que formulo votos particulares</w:t>
      </w:r>
      <w:r w:rsidR="00346358" w:rsidRPr="006E542C">
        <w:rPr>
          <w:rFonts w:ascii="Palatino Linotype" w:hAnsi="Palatino Linotype" w:cs="Arial"/>
          <w:sz w:val="24"/>
          <w:szCs w:val="24"/>
        </w:rPr>
        <w:t>,</w:t>
      </w:r>
      <w:r w:rsidRPr="006E542C">
        <w:rPr>
          <w:rFonts w:ascii="Palatino Linotype" w:hAnsi="Palatino Linotype" w:cs="Arial"/>
          <w:sz w:val="24"/>
          <w:szCs w:val="24"/>
        </w:rPr>
        <w:t xml:space="preserve"> porque en el estudio de los proyectos de resolución mencionan los llamados </w:t>
      </w:r>
      <w:r w:rsidR="007A30D8" w:rsidRPr="006E542C">
        <w:rPr>
          <w:rFonts w:ascii="Palatino Linotype" w:hAnsi="Palatino Linotype" w:cs="Arial"/>
          <w:b/>
          <w:i/>
          <w:sz w:val="24"/>
          <w:szCs w:val="24"/>
        </w:rPr>
        <w:t>“actos consentidos”.</w:t>
      </w:r>
    </w:p>
    <w:p w:rsidR="007A30D8" w:rsidRPr="007A30D8" w:rsidRDefault="007A30D8" w:rsidP="007A30D8">
      <w:pPr>
        <w:pStyle w:val="Prrafodelista"/>
        <w:spacing w:before="240" w:after="240" w:line="360" w:lineRule="auto"/>
        <w:ind w:left="360" w:right="49"/>
        <w:jc w:val="both"/>
        <w:rPr>
          <w:rFonts w:ascii="Palatino Linotype" w:hAnsi="Palatino Linotype" w:cs="Arial"/>
          <w:szCs w:val="24"/>
        </w:rPr>
      </w:pPr>
    </w:p>
    <w:p w:rsidR="0046491C" w:rsidRPr="003A21FE" w:rsidRDefault="0046491C" w:rsidP="00E34F08">
      <w:pPr>
        <w:pStyle w:val="Prrafodelista"/>
        <w:numPr>
          <w:ilvl w:val="0"/>
          <w:numId w:val="1"/>
        </w:numPr>
        <w:spacing w:before="240" w:after="240" w:line="360" w:lineRule="auto"/>
        <w:ind w:right="49"/>
        <w:jc w:val="both"/>
        <w:rPr>
          <w:rFonts w:ascii="Palatino Linotype" w:hAnsi="Palatino Linotype" w:cs="Arial"/>
          <w:sz w:val="24"/>
          <w:szCs w:val="24"/>
        </w:rPr>
      </w:pPr>
      <w:r w:rsidRPr="006E542C">
        <w:rPr>
          <w:rFonts w:ascii="Palatino Linotype" w:hAnsi="Palatino Linotype" w:cs="Arial"/>
          <w:sz w:val="24"/>
          <w:szCs w:val="24"/>
        </w:rPr>
        <w:t>Derivado de lo transcrito con anterioridad, considero que la</w:t>
      </w:r>
      <w:r w:rsidR="00260D6C" w:rsidRPr="006E542C">
        <w:rPr>
          <w:rFonts w:ascii="Palatino Linotype" w:hAnsi="Palatino Linotype" w:cs="Arial"/>
          <w:sz w:val="24"/>
          <w:szCs w:val="24"/>
        </w:rPr>
        <w:t xml:space="preserve"> incorporación de dicho argumento</w:t>
      </w:r>
      <w:r w:rsidRPr="006E542C">
        <w:rPr>
          <w:rFonts w:ascii="Palatino Linotype" w:hAnsi="Palatino Linotype" w:cs="Arial"/>
          <w:sz w:val="24"/>
          <w:szCs w:val="24"/>
        </w:rPr>
        <w:t xml:space="preserve"> en la resolución en comento resulta a todas luces innecesari</w:t>
      </w:r>
      <w:r w:rsidR="00E61AB8" w:rsidRPr="006E542C">
        <w:rPr>
          <w:rFonts w:ascii="Palatino Linotype" w:hAnsi="Palatino Linotype" w:cs="Arial"/>
          <w:sz w:val="24"/>
          <w:szCs w:val="24"/>
        </w:rPr>
        <w:t xml:space="preserve">o y además no da </w:t>
      </w:r>
      <w:r w:rsidRPr="006E542C">
        <w:rPr>
          <w:rFonts w:ascii="Palatino Linotype" w:hAnsi="Palatino Linotype" w:cs="Arial"/>
          <w:sz w:val="24"/>
          <w:szCs w:val="24"/>
        </w:rPr>
        <w:t>lugar a invocarlos en el derecho humano fundamental de acceder a la información pública gubernamental.</w:t>
      </w:r>
      <w:r w:rsidRPr="006E542C">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6E542C">
        <w:rPr>
          <w:rFonts w:ascii="Palatino Linotype" w:eastAsia="Calibri" w:hAnsi="Palatino Linotype" w:cs="Times New Roman"/>
          <w:b/>
          <w:sz w:val="24"/>
          <w:szCs w:val="24"/>
          <w:lang w:val="es-ES" w:eastAsia="es-ES"/>
        </w:rPr>
        <w:t>SUJETO OBLIGADO</w:t>
      </w:r>
      <w:r w:rsidRPr="006E542C">
        <w:rPr>
          <w:rFonts w:ascii="Palatino Linotype" w:eastAsia="Calibri" w:hAnsi="Palatino Linotype" w:cs="Times New Roman"/>
          <w:sz w:val="24"/>
          <w:szCs w:val="24"/>
          <w:lang w:val="es-ES" w:eastAsia="es-ES"/>
        </w:rPr>
        <w:t xml:space="preserve"> ha dado respuesta a la solicitud de información</w:t>
      </w:r>
      <w:r w:rsidR="00260D6C" w:rsidRPr="006E542C">
        <w:rPr>
          <w:rFonts w:ascii="Palatino Linotype" w:eastAsia="Calibri" w:hAnsi="Palatino Linotype" w:cs="Times New Roman"/>
          <w:sz w:val="24"/>
          <w:szCs w:val="24"/>
          <w:lang w:val="es-ES" w:eastAsia="es-ES"/>
        </w:rPr>
        <w:t xml:space="preserve"> en lo particular</w:t>
      </w:r>
      <w:r w:rsidRPr="006E542C">
        <w:rPr>
          <w:rFonts w:ascii="Palatino Linotype" w:eastAsia="Calibri" w:hAnsi="Palatino Linotype" w:cs="Times New Roman"/>
          <w:sz w:val="24"/>
          <w:szCs w:val="24"/>
          <w:lang w:val="es-ES" w:eastAsia="es-ES"/>
        </w:rPr>
        <w:t>, t</w:t>
      </w:r>
      <w:r w:rsidR="00260D6C" w:rsidRPr="006E542C">
        <w:rPr>
          <w:rFonts w:ascii="Palatino Linotype" w:eastAsia="Calibri" w:hAnsi="Palatino Linotype" w:cs="Times New Roman"/>
          <w:sz w:val="24"/>
          <w:szCs w:val="24"/>
          <w:lang w:val="es-ES" w:eastAsia="es-ES"/>
        </w:rPr>
        <w:t xml:space="preserve">an es así que al analizar la respuesta emitida se concluyó que colmó con </w:t>
      </w:r>
      <w:r w:rsidRPr="006E542C">
        <w:rPr>
          <w:rFonts w:ascii="Palatino Linotype" w:eastAsia="Calibri" w:hAnsi="Palatino Linotype" w:cs="Times New Roman"/>
          <w:sz w:val="24"/>
          <w:szCs w:val="24"/>
          <w:lang w:val="es-ES" w:eastAsia="es-ES"/>
        </w:rPr>
        <w:t xml:space="preserve">el derecho de acceso a la información, </w:t>
      </w:r>
      <w:r w:rsidR="00260D6C" w:rsidRPr="006E542C">
        <w:rPr>
          <w:rFonts w:ascii="Palatino Linotype" w:eastAsia="Calibri" w:hAnsi="Palatino Linotype" w:cs="Times New Roman"/>
          <w:sz w:val="24"/>
          <w:szCs w:val="24"/>
          <w:lang w:val="es-ES" w:eastAsia="es-ES"/>
        </w:rPr>
        <w:t xml:space="preserve">lo que en mi parecer </w:t>
      </w:r>
      <w:r w:rsidRPr="006E542C">
        <w:rPr>
          <w:rFonts w:ascii="Palatino Linotype" w:eastAsia="Calibri" w:hAnsi="Palatino Linotype" w:cs="Times New Roman"/>
          <w:sz w:val="24"/>
          <w:szCs w:val="24"/>
          <w:lang w:val="es-ES" w:eastAsia="es-ES"/>
        </w:rPr>
        <w:t>considero, es innecesario señalar</w:t>
      </w:r>
      <w:r w:rsidR="00194B6A" w:rsidRPr="006E542C">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6E542C">
        <w:rPr>
          <w:rFonts w:ascii="Palatino Linotype" w:eastAsia="Calibri" w:hAnsi="Palatino Linotype" w:cs="Times New Roman"/>
          <w:sz w:val="24"/>
          <w:szCs w:val="24"/>
          <w:lang w:val="es-ES" w:eastAsia="es-ES"/>
        </w:rPr>
        <w:t>rlo invocando el multicitado argumento de</w:t>
      </w:r>
      <w:r w:rsidR="00194B6A" w:rsidRPr="006E542C">
        <w:rPr>
          <w:rFonts w:ascii="Palatino Linotype" w:eastAsia="Calibri" w:hAnsi="Palatino Linotype" w:cs="Times New Roman"/>
          <w:sz w:val="24"/>
          <w:szCs w:val="24"/>
          <w:lang w:val="es-ES" w:eastAsia="es-ES"/>
        </w:rPr>
        <w:t xml:space="preserve"> actos consentidos.</w:t>
      </w:r>
    </w:p>
    <w:p w:rsidR="003A21FE" w:rsidRPr="003A21FE" w:rsidRDefault="003A21FE" w:rsidP="003A21FE">
      <w:pPr>
        <w:pStyle w:val="Prrafodelista"/>
        <w:rPr>
          <w:rFonts w:ascii="Palatino Linotype" w:hAnsi="Palatino Linotype" w:cs="Arial"/>
          <w:sz w:val="24"/>
          <w:szCs w:val="24"/>
        </w:rPr>
      </w:pPr>
    </w:p>
    <w:p w:rsidR="003A21FE" w:rsidRPr="006E542C" w:rsidRDefault="003A21FE" w:rsidP="003A21FE">
      <w:pPr>
        <w:pStyle w:val="Prrafodelista"/>
        <w:spacing w:before="240" w:after="240" w:line="360" w:lineRule="auto"/>
        <w:ind w:left="360" w:right="49"/>
        <w:jc w:val="both"/>
        <w:rPr>
          <w:rFonts w:ascii="Palatino Linotype" w:hAnsi="Palatino Linotype" w:cs="Arial"/>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3" w:name="_Toc8149937"/>
      <w:r w:rsidRPr="0009123A">
        <w:rPr>
          <w:rFonts w:ascii="Palatino Linotype" w:hAnsi="Palatino Linotype"/>
          <w:b/>
          <w:color w:val="auto"/>
          <w:sz w:val="24"/>
          <w:szCs w:val="24"/>
        </w:rPr>
        <w:t>Los actos consentidos no deben invocarse en el derecho fundamental de acceder a la información pública gubernamental.</w:t>
      </w:r>
      <w:bookmarkEnd w:id="3"/>
    </w:p>
    <w:p w:rsidR="00FC5012" w:rsidRPr="0009123A" w:rsidRDefault="00FC5012" w:rsidP="00FC5012">
      <w:pPr>
        <w:rPr>
          <w:rFonts w:ascii="Palatino Linotype" w:hAnsi="Palatino Linotype"/>
          <w:sz w:val="24"/>
          <w:szCs w:val="24"/>
        </w:rPr>
      </w:pPr>
    </w:p>
    <w:p w:rsidR="0046491C" w:rsidRPr="006E542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t xml:space="preserve">En la resolución se precisa, un criterio </w:t>
      </w:r>
      <w:r w:rsidR="00260D6C" w:rsidRPr="006E542C">
        <w:rPr>
          <w:rFonts w:ascii="Palatino Linotype" w:hAnsi="Palatino Linotype" w:cs="Arial"/>
          <w:sz w:val="24"/>
          <w:szCs w:val="24"/>
        </w:rPr>
        <w:t>denominado</w:t>
      </w:r>
      <w:r w:rsidRPr="006E542C">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6E542C">
        <w:rPr>
          <w:rFonts w:ascii="Palatino Linotype" w:hAnsi="Palatino Linotype" w:cs="Arial"/>
          <w:b/>
          <w:sz w:val="24"/>
          <w:szCs w:val="24"/>
        </w:rPr>
        <w:t>acudir a un profesionista del derecho</w:t>
      </w:r>
      <w:r w:rsidRPr="006E542C">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6E542C" w:rsidRDefault="0046491C" w:rsidP="00E34F08">
      <w:pPr>
        <w:pStyle w:val="Prrafodelista"/>
        <w:spacing w:after="0" w:line="360" w:lineRule="auto"/>
        <w:ind w:left="426"/>
        <w:jc w:val="both"/>
        <w:rPr>
          <w:rFonts w:ascii="Palatino Linotype" w:hAnsi="Palatino Linotype" w:cs="Arial"/>
          <w:sz w:val="24"/>
          <w:szCs w:val="24"/>
        </w:rPr>
      </w:pPr>
    </w:p>
    <w:p w:rsidR="0046491C" w:rsidRPr="006E542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6E542C">
        <w:rPr>
          <w:rStyle w:val="Refdenotaalpie"/>
          <w:rFonts w:ascii="Palatino Linotype" w:hAnsi="Palatino Linotype" w:cs="Arial"/>
          <w:sz w:val="24"/>
          <w:szCs w:val="24"/>
        </w:rPr>
        <w:footnoteReference w:id="1"/>
      </w:r>
      <w:r w:rsidRPr="006E542C">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6E542C">
        <w:rPr>
          <w:rStyle w:val="Refdenotaalpie"/>
          <w:rFonts w:ascii="Palatino Linotype" w:hAnsi="Palatino Linotype" w:cs="Arial"/>
          <w:sz w:val="24"/>
          <w:szCs w:val="24"/>
        </w:rPr>
        <w:footnoteReference w:id="2"/>
      </w:r>
      <w:r w:rsidRPr="006E542C">
        <w:rPr>
          <w:rFonts w:ascii="Palatino Linotype" w:hAnsi="Palatino Linotype" w:cs="Arial"/>
          <w:sz w:val="24"/>
          <w:szCs w:val="24"/>
        </w:rPr>
        <w:t xml:space="preserve"> </w:t>
      </w:r>
    </w:p>
    <w:p w:rsidR="0046491C" w:rsidRPr="006E542C" w:rsidRDefault="0046491C" w:rsidP="00E34F08">
      <w:pPr>
        <w:pStyle w:val="Prrafodelista"/>
        <w:spacing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3A21FE" w:rsidRPr="003A21FE" w:rsidRDefault="003A21FE" w:rsidP="003A21FE">
      <w:pPr>
        <w:pStyle w:val="Prrafodelista"/>
        <w:rPr>
          <w:rFonts w:ascii="Palatino Linotype" w:hAnsi="Palatino Linotype" w:cs="Arial"/>
          <w:sz w:val="24"/>
          <w:szCs w:val="24"/>
        </w:rPr>
      </w:pPr>
    </w:p>
    <w:p w:rsidR="003A21FE" w:rsidRPr="006E542C" w:rsidRDefault="003A21FE" w:rsidP="003A21FE">
      <w:pPr>
        <w:pStyle w:val="Prrafodelista"/>
        <w:spacing w:after="0" w:line="360" w:lineRule="auto"/>
        <w:ind w:left="426"/>
        <w:jc w:val="both"/>
        <w:rPr>
          <w:rFonts w:ascii="Palatino Linotype" w:hAnsi="Palatino Linotype" w:cs="Arial"/>
          <w:sz w:val="24"/>
          <w:szCs w:val="24"/>
        </w:rPr>
      </w:pPr>
    </w:p>
    <w:p w:rsidR="0046491C" w:rsidRPr="006E542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lastRenderedPageBreak/>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6E542C">
        <w:rPr>
          <w:rFonts w:ascii="Palatino Linotype" w:hAnsi="Palatino Linotype" w:cs="Arial"/>
          <w:b/>
          <w:sz w:val="24"/>
          <w:szCs w:val="24"/>
        </w:rPr>
        <w:t>garantía de los derechos humanos</w:t>
      </w:r>
      <w:r w:rsidRPr="006E542C">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B26501" w:rsidRPr="006E542C" w:rsidRDefault="00B26501" w:rsidP="00B26501">
      <w:pPr>
        <w:pStyle w:val="Prrafodelista"/>
        <w:rPr>
          <w:rFonts w:ascii="Palatino Linotype" w:hAnsi="Palatino Linotype" w:cs="Arial"/>
          <w:sz w:val="24"/>
          <w:szCs w:val="24"/>
        </w:rPr>
      </w:pPr>
    </w:p>
    <w:p w:rsidR="0046491C" w:rsidRPr="006E542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t>En este sentido el Dr. Miguel Carbonell ha señalado que:</w:t>
      </w:r>
    </w:p>
    <w:p w:rsidR="00B26501" w:rsidRPr="006E542C" w:rsidRDefault="00B26501" w:rsidP="00B26501">
      <w:pPr>
        <w:pStyle w:val="Prrafodelista"/>
        <w:rPr>
          <w:rFonts w:ascii="Palatino Linotype" w:hAnsi="Palatino Linotype" w:cs="Arial"/>
          <w:sz w:val="24"/>
          <w:szCs w:val="24"/>
        </w:rPr>
      </w:pPr>
    </w:p>
    <w:p w:rsidR="0046491C" w:rsidRPr="006E542C" w:rsidRDefault="0046491C" w:rsidP="00E34F08">
      <w:pPr>
        <w:pStyle w:val="Prrafodelista"/>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6E542C">
        <w:rPr>
          <w:rFonts w:ascii="Palatino Linotype" w:hAnsi="Palatino Linotype" w:cs="Arial"/>
          <w:b/>
          <w:sz w:val="24"/>
          <w:szCs w:val="24"/>
        </w:rPr>
        <w:t>considerando que algún nivel de gobierno tenga obligaciones reforzadas hacia ciertos derechos.</w:t>
      </w:r>
      <w:r w:rsidRPr="006E542C">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6E542C">
        <w:rPr>
          <w:rFonts w:ascii="Palatino Linotype" w:hAnsi="Palatino Linotype" w:cs="Arial"/>
          <w:b/>
          <w:sz w:val="24"/>
          <w:szCs w:val="24"/>
        </w:rPr>
        <w:t>tomar todas las medidas que sean pertinentes para tutelar y hacer eficaz un derecho</w:t>
      </w:r>
      <w:r w:rsidRPr="006E542C">
        <w:rPr>
          <w:rFonts w:ascii="Palatino Linotype" w:hAnsi="Palatino Linotype" w:cs="Arial"/>
          <w:sz w:val="24"/>
          <w:szCs w:val="24"/>
        </w:rPr>
        <w:t>”.</w:t>
      </w:r>
      <w:r w:rsidRPr="006E542C">
        <w:rPr>
          <w:rStyle w:val="Refdenotaalpie"/>
          <w:rFonts w:ascii="Palatino Linotype" w:hAnsi="Palatino Linotype" w:cs="Arial"/>
          <w:sz w:val="24"/>
          <w:szCs w:val="24"/>
        </w:rPr>
        <w:footnoteReference w:id="3"/>
      </w:r>
    </w:p>
    <w:p w:rsidR="0046491C" w:rsidRPr="006E542C" w:rsidRDefault="0046491C" w:rsidP="00E34F08">
      <w:pPr>
        <w:pStyle w:val="Prrafodelista"/>
        <w:spacing w:after="0" w:line="360" w:lineRule="auto"/>
        <w:ind w:left="426"/>
        <w:jc w:val="both"/>
        <w:rPr>
          <w:rFonts w:ascii="Palatino Linotype" w:hAnsi="Palatino Linotype" w:cs="Arial"/>
          <w:sz w:val="24"/>
          <w:szCs w:val="24"/>
        </w:rPr>
      </w:pPr>
    </w:p>
    <w:p w:rsidR="0046491C" w:rsidRPr="006E542C" w:rsidRDefault="0046491C" w:rsidP="00E34F08">
      <w:pPr>
        <w:pStyle w:val="Prrafodelista"/>
        <w:numPr>
          <w:ilvl w:val="0"/>
          <w:numId w:val="1"/>
        </w:numPr>
        <w:spacing w:after="0" w:line="360" w:lineRule="auto"/>
        <w:jc w:val="both"/>
        <w:rPr>
          <w:rFonts w:ascii="Palatino Linotype" w:hAnsi="Palatino Linotype" w:cs="Arial"/>
          <w:sz w:val="24"/>
          <w:szCs w:val="24"/>
        </w:rPr>
      </w:pPr>
      <w:r w:rsidRPr="006E542C">
        <w:rPr>
          <w:rFonts w:ascii="Palatino Linotype" w:hAnsi="Palatino Linotype" w:cs="Arial"/>
          <w:sz w:val="24"/>
          <w:szCs w:val="24"/>
        </w:rPr>
        <w:t xml:space="preserve"> Por lo que restringir el derecho de acceso a la información pública del particular</w:t>
      </w:r>
      <w:r w:rsidRPr="006E542C">
        <w:rPr>
          <w:rFonts w:ascii="Palatino Linotype" w:hAnsi="Palatino Linotype" w:cs="Arial"/>
          <w:b/>
          <w:sz w:val="24"/>
          <w:szCs w:val="24"/>
        </w:rPr>
        <w:t xml:space="preserve"> </w:t>
      </w:r>
      <w:r w:rsidRPr="006E542C">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6E542C" w:rsidRDefault="0046491C" w:rsidP="00E34F08">
      <w:pPr>
        <w:pStyle w:val="Prrafodelista"/>
        <w:spacing w:after="0"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jc w:val="both"/>
        <w:rPr>
          <w:rFonts w:ascii="Palatino Linotype" w:hAnsi="Palatino Linotype" w:cs="Arial"/>
          <w:sz w:val="24"/>
          <w:szCs w:val="24"/>
        </w:rPr>
      </w:pPr>
      <w:r w:rsidRPr="006E542C">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3A21FE" w:rsidRPr="003A21FE" w:rsidRDefault="003A21FE" w:rsidP="003A21FE">
      <w:pPr>
        <w:pStyle w:val="Prrafodelista"/>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09123A">
        <w:rPr>
          <w:rStyle w:val="Refdenotaalpie"/>
          <w:rFonts w:ascii="Palatino Linotype" w:hAnsi="Palatino Linotype" w:cs="Arial"/>
          <w:sz w:val="24"/>
          <w:szCs w:val="24"/>
        </w:rPr>
        <w:footnoteReference w:id="4"/>
      </w:r>
      <w:r w:rsidRPr="0009123A">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rPr>
      </w:pPr>
      <w:r w:rsidRPr="0009123A">
        <w:rPr>
          <w:rFonts w:ascii="Palatino Linotype" w:hAnsi="Palatino Linotype" w:cs="Arial"/>
          <w:sz w:val="24"/>
          <w:szCs w:val="24"/>
        </w:rPr>
        <w:t xml:space="preserve"> </w:t>
      </w:r>
      <w:r w:rsidRPr="00DA472B">
        <w:rPr>
          <w:rFonts w:ascii="Palatino Linotype" w:hAnsi="Palatino Linotype" w:cs="Arial"/>
          <w:sz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DA472B">
        <w:rPr>
          <w:rFonts w:ascii="Palatino Linotype" w:hAnsi="Palatino Linotype" w:cs="Arial"/>
          <w:b/>
          <w:sz w:val="24"/>
        </w:rPr>
        <w:t xml:space="preserve">el deber que tienen los órganos del Estado, dentro del margen de sus </w:t>
      </w:r>
      <w:r w:rsidRPr="00DA472B">
        <w:rPr>
          <w:rFonts w:ascii="Palatino Linotype" w:hAnsi="Palatino Linotype" w:cs="Arial"/>
          <w:b/>
          <w:sz w:val="24"/>
        </w:rPr>
        <w:lastRenderedPageBreak/>
        <w:t>atribuciones, de prevenir violaciones a los derechos fundamentales,</w:t>
      </w:r>
      <w:r w:rsidRPr="00DA472B">
        <w:rPr>
          <w:rFonts w:ascii="Palatino Linotype" w:hAnsi="Palatino Linotype" w:cs="Arial"/>
          <w:sz w:val="24"/>
        </w:rPr>
        <w:t xml:space="preserve"> ya sea que provengan de una autoridad o de algún particular y, por ello, </w:t>
      </w:r>
      <w:r w:rsidRPr="00DA472B">
        <w:rPr>
          <w:rFonts w:ascii="Palatino Linotype" w:hAnsi="Palatino Linotype" w:cs="Arial"/>
          <w:b/>
          <w:sz w:val="24"/>
        </w:rPr>
        <w:t>debe contarse</w:t>
      </w:r>
      <w:r w:rsidRPr="00DA472B">
        <w:rPr>
          <w:rFonts w:ascii="Palatino Linotype" w:hAnsi="Palatino Linotype" w:cs="Arial"/>
          <w:sz w:val="24"/>
        </w:rPr>
        <w:t xml:space="preserve"> tanto </w:t>
      </w:r>
      <w:r w:rsidRPr="00DA472B">
        <w:rPr>
          <w:rFonts w:ascii="Palatino Linotype" w:hAnsi="Palatino Linotype" w:cs="Arial"/>
          <w:b/>
          <w:sz w:val="24"/>
        </w:rPr>
        <w:t>con mecanismos</w:t>
      </w:r>
      <w:r w:rsidRPr="00DA472B">
        <w:rPr>
          <w:rFonts w:ascii="Palatino Linotype" w:hAnsi="Palatino Linotype" w:cs="Arial"/>
          <w:sz w:val="24"/>
        </w:rPr>
        <w:t xml:space="preserve"> de vigilancia como </w:t>
      </w:r>
      <w:r w:rsidRPr="00DA472B">
        <w:rPr>
          <w:rFonts w:ascii="Palatino Linotype" w:hAnsi="Palatino Linotype" w:cs="Arial"/>
          <w:b/>
          <w:sz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DA472B">
        <w:rPr>
          <w:rFonts w:ascii="Palatino Linotype" w:hAnsi="Palatino Linotype" w:cs="Arial"/>
          <w:sz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12655" w:rsidRDefault="00412655" w:rsidP="00412655">
      <w:pPr>
        <w:pStyle w:val="Prrafodelista"/>
        <w:spacing w:after="0" w:line="360" w:lineRule="auto"/>
        <w:ind w:left="426"/>
        <w:jc w:val="both"/>
        <w:rPr>
          <w:rFonts w:ascii="Palatino Linotype" w:hAnsi="Palatino Linotype" w:cs="Arial"/>
          <w:sz w:val="24"/>
        </w:rPr>
      </w:pPr>
    </w:p>
    <w:p w:rsidR="0046491C" w:rsidRPr="008907F2" w:rsidRDefault="0046491C" w:rsidP="00E34F08">
      <w:pPr>
        <w:pStyle w:val="Prrafodelista"/>
        <w:numPr>
          <w:ilvl w:val="0"/>
          <w:numId w:val="1"/>
        </w:numPr>
        <w:spacing w:after="0" w:line="360" w:lineRule="auto"/>
        <w:jc w:val="both"/>
        <w:rPr>
          <w:rFonts w:ascii="Palatino Linotype" w:hAnsi="Palatino Linotype" w:cs="Arial"/>
          <w:sz w:val="24"/>
        </w:rPr>
      </w:pPr>
      <w:r w:rsidRPr="00DA472B">
        <w:rPr>
          <w:rFonts w:ascii="Palatino Linotype" w:hAnsi="Palatino Linotype" w:cs="Arial"/>
          <w:sz w:val="24"/>
        </w:rPr>
        <w:t xml:space="preserve"> </w:t>
      </w:r>
      <w:r w:rsidRPr="008907F2">
        <w:rPr>
          <w:rFonts w:ascii="Palatino Linotype" w:hAnsi="Palatino Linotype" w:cs="Arial"/>
          <w:sz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w:t>
      </w:r>
      <w:r w:rsidRPr="008907F2">
        <w:rPr>
          <w:rFonts w:ascii="Palatino Linotype" w:hAnsi="Palatino Linotype" w:cs="Arial"/>
          <w:sz w:val="24"/>
        </w:rPr>
        <w:lastRenderedPageBreak/>
        <w:t xml:space="preserve">por parte de los </w:t>
      </w:r>
      <w:r w:rsidRPr="008907F2">
        <w:rPr>
          <w:rFonts w:ascii="Palatino Linotype" w:hAnsi="Palatino Linotype" w:cs="Arial"/>
          <w:b/>
          <w:sz w:val="24"/>
        </w:rPr>
        <w:t>SUJETOS OBLIGADOS</w:t>
      </w:r>
      <w:r w:rsidRPr="008907F2">
        <w:rPr>
          <w:rFonts w:ascii="Palatino Linotype" w:hAnsi="Palatino Linotype" w:cs="Arial"/>
          <w:sz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8907F2" w:rsidRDefault="00DF6F7E" w:rsidP="00E34F08">
      <w:pPr>
        <w:pStyle w:val="Prrafodelista"/>
        <w:spacing w:line="360" w:lineRule="auto"/>
        <w:rPr>
          <w:rFonts w:ascii="Palatino Linotype" w:hAnsi="Palatino Linotype" w:cs="Arial"/>
          <w:sz w:val="24"/>
          <w:szCs w:val="24"/>
        </w:rPr>
      </w:pPr>
    </w:p>
    <w:p w:rsidR="0046491C" w:rsidRPr="008907F2" w:rsidRDefault="0046491C" w:rsidP="00E34F08">
      <w:pPr>
        <w:pStyle w:val="Prrafodelista"/>
        <w:numPr>
          <w:ilvl w:val="0"/>
          <w:numId w:val="1"/>
        </w:numPr>
        <w:spacing w:after="0" w:line="360" w:lineRule="auto"/>
        <w:ind w:left="284"/>
        <w:jc w:val="both"/>
        <w:rPr>
          <w:rFonts w:ascii="Palatino Linotype" w:hAnsi="Palatino Linotype" w:cs="Arial"/>
          <w:sz w:val="28"/>
          <w:szCs w:val="24"/>
        </w:rPr>
      </w:pPr>
      <w:r w:rsidRPr="008907F2">
        <w:rPr>
          <w:rFonts w:ascii="Palatino Linotype" w:hAnsi="Palatino Linotype" w:cs="Arial"/>
          <w:sz w:val="28"/>
          <w:szCs w:val="24"/>
        </w:rPr>
        <w:t xml:space="preserve"> </w:t>
      </w:r>
      <w:r w:rsidRPr="008907F2">
        <w:rPr>
          <w:rFonts w:ascii="Palatino Linotype" w:hAnsi="Palatino Linotype" w:cs="Arial"/>
          <w:sz w:val="24"/>
          <w:szCs w:val="24"/>
        </w:rPr>
        <w:t>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9123A" w:rsidRPr="0009123A" w:rsidRDefault="0009123A" w:rsidP="0009123A">
      <w:pPr>
        <w:pStyle w:val="Prrafodelista"/>
        <w:rPr>
          <w:rFonts w:ascii="Palatino Linotype" w:hAnsi="Palatino Linotype" w:cs="Arial"/>
          <w:sz w:val="24"/>
          <w:szCs w:val="24"/>
        </w:rPr>
      </w:pPr>
    </w:p>
    <w:p w:rsidR="0046491C" w:rsidRPr="003A21FE" w:rsidRDefault="0046491C" w:rsidP="001574EC">
      <w:pPr>
        <w:spacing w:after="0" w:line="360" w:lineRule="auto"/>
        <w:ind w:left="567" w:right="618"/>
        <w:jc w:val="both"/>
        <w:rPr>
          <w:rFonts w:ascii="Palatino Linotype" w:hAnsi="Palatino Linotype" w:cs="Arial"/>
          <w:i/>
          <w:szCs w:val="24"/>
        </w:rPr>
      </w:pPr>
      <w:r w:rsidRPr="003A21FE">
        <w:rPr>
          <w:rFonts w:ascii="Palatino Linotype" w:hAnsi="Palatino Linotype" w:cs="Arial"/>
          <w:i/>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3A21FE">
        <w:rPr>
          <w:rFonts w:ascii="Palatino Linotype" w:hAnsi="Palatino Linotype" w:cs="Arial"/>
          <w:i/>
          <w:szCs w:val="24"/>
        </w:rPr>
        <w:lastRenderedPageBreak/>
        <w:t>generados por la heterogeneidad y ocasionalidad de las presiones sociales que se ejercen sobre el mismo”.</w:t>
      </w:r>
      <w:r w:rsidRPr="003A21FE">
        <w:rPr>
          <w:rStyle w:val="Refdenotaalpie"/>
          <w:rFonts w:ascii="Palatino Linotype" w:hAnsi="Palatino Linotype" w:cs="Arial"/>
          <w:i/>
          <w:szCs w:val="24"/>
        </w:rPr>
        <w:footnoteReference w:id="5"/>
      </w:r>
    </w:p>
    <w:p w:rsidR="003A21FE" w:rsidRPr="003A21FE" w:rsidRDefault="003A21FE" w:rsidP="003A21FE">
      <w:pPr>
        <w:pStyle w:val="Prrafodelista"/>
        <w:spacing w:after="0" w:line="360" w:lineRule="auto"/>
        <w:ind w:left="426"/>
        <w:jc w:val="both"/>
        <w:rPr>
          <w:rFonts w:ascii="Palatino Linotype" w:hAnsi="Palatino Linotype" w:cs="Arial"/>
          <w:sz w:val="24"/>
        </w:rPr>
      </w:pPr>
    </w:p>
    <w:p w:rsidR="0046491C" w:rsidRDefault="0046491C" w:rsidP="00E34F08">
      <w:pPr>
        <w:pStyle w:val="Prrafodelista"/>
        <w:numPr>
          <w:ilvl w:val="0"/>
          <w:numId w:val="1"/>
        </w:numPr>
        <w:spacing w:after="0" w:line="360" w:lineRule="auto"/>
        <w:ind w:left="426" w:hanging="426"/>
        <w:jc w:val="both"/>
        <w:rPr>
          <w:rFonts w:ascii="Palatino Linotype" w:hAnsi="Palatino Linotype" w:cs="Arial"/>
          <w:sz w:val="24"/>
        </w:rPr>
      </w:pPr>
      <w:r w:rsidRPr="0009123A">
        <w:rPr>
          <w:rFonts w:ascii="Palatino Linotype" w:hAnsi="Palatino Linotype" w:cs="Arial"/>
          <w:sz w:val="24"/>
          <w:szCs w:val="24"/>
        </w:rPr>
        <w:t xml:space="preserve"> </w:t>
      </w:r>
      <w:r w:rsidRPr="00DA472B">
        <w:rPr>
          <w:rFonts w:ascii="Palatino Linotype" w:hAnsi="Palatino Linotype" w:cs="Arial"/>
          <w:sz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3A21FE" w:rsidRDefault="003A21FE" w:rsidP="003A21FE">
      <w:pPr>
        <w:spacing w:after="0" w:line="360" w:lineRule="auto"/>
        <w:jc w:val="both"/>
        <w:rPr>
          <w:rFonts w:ascii="Palatino Linotype" w:hAnsi="Palatino Linotype" w:cs="Arial"/>
          <w:sz w:val="24"/>
        </w:rPr>
      </w:pPr>
    </w:p>
    <w:p w:rsidR="0046491C" w:rsidRDefault="0046491C" w:rsidP="00E34F08">
      <w:pPr>
        <w:pStyle w:val="Prrafodelista"/>
        <w:numPr>
          <w:ilvl w:val="0"/>
          <w:numId w:val="1"/>
        </w:numPr>
        <w:spacing w:line="360" w:lineRule="auto"/>
        <w:ind w:left="426" w:hanging="426"/>
        <w:jc w:val="both"/>
        <w:rPr>
          <w:rFonts w:ascii="Palatino Linotype" w:hAnsi="Palatino Linotype" w:cs="Arial"/>
          <w:sz w:val="24"/>
        </w:rPr>
      </w:pPr>
      <w:r w:rsidRPr="00DA472B">
        <w:rPr>
          <w:rFonts w:ascii="Palatino Linotype" w:hAnsi="Palatino Linotype" w:cs="Arial"/>
          <w:sz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w:t>
      </w:r>
      <w:r w:rsidRPr="00DA472B">
        <w:rPr>
          <w:rFonts w:ascii="Palatino Linotype" w:hAnsi="Palatino Linotype" w:cs="Arial"/>
          <w:sz w:val="24"/>
        </w:rPr>
        <w:lastRenderedPageBreak/>
        <w:t>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7A30D8" w:rsidRPr="00DA472B" w:rsidRDefault="007A30D8" w:rsidP="007A30D8">
      <w:pPr>
        <w:pStyle w:val="Prrafodelista"/>
        <w:spacing w:line="360" w:lineRule="auto"/>
        <w:ind w:left="426"/>
        <w:jc w:val="both"/>
        <w:rPr>
          <w:rFonts w:ascii="Palatino Linotype" w:hAnsi="Palatino Linotype" w:cs="Arial"/>
          <w:sz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C243CD" w:rsidRDefault="00C243CD" w:rsidP="00702BD9">
      <w:pPr>
        <w:pStyle w:val="Prrafodelista"/>
        <w:spacing w:after="0" w:line="360" w:lineRule="auto"/>
        <w:ind w:left="426"/>
        <w:jc w:val="both"/>
        <w:rPr>
          <w:rFonts w:ascii="Palatino Linotype" w:hAnsi="Palatino Linotype" w:cs="Arial"/>
          <w:sz w:val="24"/>
          <w:szCs w:val="24"/>
        </w:rPr>
      </w:pPr>
    </w:p>
    <w:p w:rsidR="003A21FE" w:rsidRDefault="003A21FE" w:rsidP="00702BD9">
      <w:pPr>
        <w:pStyle w:val="Prrafodelista"/>
        <w:spacing w:after="0" w:line="360" w:lineRule="auto"/>
        <w:ind w:left="426"/>
        <w:jc w:val="both"/>
        <w:rPr>
          <w:rFonts w:ascii="Palatino Linotype" w:hAnsi="Palatino Linotype" w:cs="Arial"/>
          <w:sz w:val="24"/>
          <w:szCs w:val="24"/>
        </w:rPr>
      </w:pPr>
    </w:p>
    <w:p w:rsidR="00412655" w:rsidRDefault="00412655" w:rsidP="00702BD9">
      <w:pPr>
        <w:pStyle w:val="Prrafodelista"/>
        <w:spacing w:after="0" w:line="360" w:lineRule="auto"/>
        <w:ind w:left="426"/>
        <w:jc w:val="both"/>
        <w:rPr>
          <w:rFonts w:ascii="Palatino Linotype" w:hAnsi="Palatino Linotype" w:cs="Arial"/>
          <w:sz w:val="24"/>
          <w:szCs w:val="24"/>
        </w:rPr>
      </w:pPr>
    </w:p>
    <w:p w:rsidR="00412655" w:rsidRDefault="00412655" w:rsidP="00702BD9">
      <w:pPr>
        <w:pStyle w:val="Prrafodelista"/>
        <w:spacing w:after="0" w:line="360" w:lineRule="auto"/>
        <w:ind w:left="426"/>
        <w:jc w:val="both"/>
        <w:rPr>
          <w:rFonts w:ascii="Palatino Linotype" w:hAnsi="Palatino Linotype" w:cs="Arial"/>
          <w:sz w:val="24"/>
          <w:szCs w:val="24"/>
        </w:rPr>
      </w:pPr>
    </w:p>
    <w:p w:rsidR="008907F2" w:rsidRDefault="008907F2" w:rsidP="00702BD9">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Sinespaciado"/>
        <w:spacing w:line="360" w:lineRule="auto"/>
        <w:jc w:val="center"/>
        <w:rPr>
          <w:rFonts w:ascii="Palatino Linotype" w:hAnsi="Palatino Linotype"/>
          <w:b/>
          <w:sz w:val="24"/>
          <w:szCs w:val="24"/>
        </w:rPr>
      </w:pPr>
      <w:r w:rsidRPr="0009123A">
        <w:rPr>
          <w:rFonts w:ascii="Palatino Linotype" w:hAnsi="Palatino Linotype"/>
          <w:b/>
          <w:sz w:val="24"/>
          <w:szCs w:val="24"/>
        </w:rPr>
        <w:t>JOSÉ GUADALUPE LUNA HERNÁNDEZ</w:t>
      </w:r>
    </w:p>
    <w:p w:rsidR="0046491C" w:rsidRDefault="0046491C" w:rsidP="00E34F08">
      <w:pPr>
        <w:spacing w:line="360" w:lineRule="auto"/>
        <w:jc w:val="center"/>
        <w:rPr>
          <w:rFonts w:ascii="Palatino Linotype" w:hAnsi="Palatino Linotype"/>
          <w:b/>
          <w:sz w:val="24"/>
          <w:szCs w:val="24"/>
        </w:rPr>
      </w:pPr>
      <w:r w:rsidRPr="0009123A">
        <w:rPr>
          <w:rFonts w:ascii="Palatino Linotype" w:hAnsi="Palatino Linotype"/>
          <w:b/>
          <w:sz w:val="24"/>
          <w:szCs w:val="24"/>
        </w:rPr>
        <w:t>COMISIONADO</w:t>
      </w:r>
    </w:p>
    <w:p w:rsidR="00191034" w:rsidRDefault="00191034" w:rsidP="00575478">
      <w:pPr>
        <w:spacing w:line="360" w:lineRule="auto"/>
        <w:rPr>
          <w:rFonts w:ascii="Palatino Linotype" w:hAnsi="Palatino Linotype"/>
          <w:b/>
          <w:sz w:val="24"/>
          <w:szCs w:val="24"/>
        </w:rPr>
      </w:pPr>
    </w:p>
    <w:p w:rsidR="00575478" w:rsidRPr="0009123A" w:rsidRDefault="00575478" w:rsidP="00575478">
      <w:pPr>
        <w:spacing w:line="360" w:lineRule="auto"/>
        <w:rPr>
          <w:rFonts w:ascii="Palatino Linotype" w:hAnsi="Palatino Linotype"/>
          <w:b/>
          <w:sz w:val="24"/>
          <w:szCs w:val="24"/>
        </w:rPr>
      </w:pPr>
      <w:r w:rsidRPr="0009123A">
        <w:rPr>
          <w:rFonts w:ascii="Palatino Linotype" w:hAnsi="Palatino Linotype"/>
          <w:b/>
          <w:sz w:val="24"/>
          <w:szCs w:val="24"/>
        </w:rPr>
        <w:t>JGLH/ADM.</w:t>
      </w:r>
    </w:p>
    <w:sectPr w:rsidR="00575478" w:rsidRPr="0009123A"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6BB" w:rsidRDefault="009546BB" w:rsidP="00E706DA">
      <w:pPr>
        <w:spacing w:after="0" w:line="240" w:lineRule="auto"/>
      </w:pPr>
      <w:r>
        <w:separator/>
      </w:r>
    </w:p>
  </w:endnote>
  <w:endnote w:type="continuationSeparator" w:id="0">
    <w:p w:rsidR="009546BB" w:rsidRDefault="009546BB"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546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0C2500">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0C2500">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9546B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546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6BB" w:rsidRDefault="009546BB" w:rsidP="00E706DA">
      <w:pPr>
        <w:spacing w:after="0" w:line="240" w:lineRule="auto"/>
      </w:pPr>
      <w:r>
        <w:separator/>
      </w:r>
    </w:p>
  </w:footnote>
  <w:footnote w:type="continuationSeparator" w:id="0">
    <w:p w:rsidR="009546BB" w:rsidRDefault="009546BB"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546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546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9546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546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3CF1"/>
    <w:multiLevelType w:val="hybridMultilevel"/>
    <w:tmpl w:val="71B47C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3331724"/>
    <w:multiLevelType w:val="hybridMultilevel"/>
    <w:tmpl w:val="FCFE2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053F81"/>
    <w:multiLevelType w:val="hybridMultilevel"/>
    <w:tmpl w:val="E8EE81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F72F39"/>
    <w:multiLevelType w:val="hybridMultilevel"/>
    <w:tmpl w:val="A8F8E0D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6"/>
  </w:num>
  <w:num w:numId="2">
    <w:abstractNumId w:val="3"/>
  </w:num>
  <w:num w:numId="3">
    <w:abstractNumId w:val="10"/>
  </w:num>
  <w:num w:numId="4">
    <w:abstractNumId w:val="12"/>
  </w:num>
  <w:num w:numId="5">
    <w:abstractNumId w:val="15"/>
  </w:num>
  <w:num w:numId="6">
    <w:abstractNumId w:val="17"/>
  </w:num>
  <w:num w:numId="7">
    <w:abstractNumId w:val="22"/>
  </w:num>
  <w:num w:numId="8">
    <w:abstractNumId w:val="19"/>
  </w:num>
  <w:num w:numId="9">
    <w:abstractNumId w:val="25"/>
  </w:num>
  <w:num w:numId="10">
    <w:abstractNumId w:val="4"/>
  </w:num>
  <w:num w:numId="11">
    <w:abstractNumId w:val="24"/>
  </w:num>
  <w:num w:numId="12">
    <w:abstractNumId w:val="11"/>
  </w:num>
  <w:num w:numId="13">
    <w:abstractNumId w:val="6"/>
  </w:num>
  <w:num w:numId="14">
    <w:abstractNumId w:val="9"/>
  </w:num>
  <w:num w:numId="15">
    <w:abstractNumId w:val="18"/>
  </w:num>
  <w:num w:numId="16">
    <w:abstractNumId w:val="2"/>
  </w:num>
  <w:num w:numId="17">
    <w:abstractNumId w:val="1"/>
  </w:num>
  <w:num w:numId="18">
    <w:abstractNumId w:val="13"/>
  </w:num>
  <w:num w:numId="19">
    <w:abstractNumId w:val="7"/>
  </w:num>
  <w:num w:numId="20">
    <w:abstractNumId w:val="21"/>
  </w:num>
  <w:num w:numId="21">
    <w:abstractNumId w:val="23"/>
  </w:num>
  <w:num w:numId="22">
    <w:abstractNumId w:val="8"/>
  </w:num>
  <w:num w:numId="23">
    <w:abstractNumId w:val="14"/>
  </w:num>
  <w:num w:numId="24">
    <w:abstractNumId w:val="27"/>
  </w:num>
  <w:num w:numId="25">
    <w:abstractNumId w:val="5"/>
  </w:num>
  <w:num w:numId="26">
    <w:abstractNumId w:val="0"/>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72966"/>
    <w:rsid w:val="00073F0D"/>
    <w:rsid w:val="00085188"/>
    <w:rsid w:val="0009123A"/>
    <w:rsid w:val="000951B4"/>
    <w:rsid w:val="000A3353"/>
    <w:rsid w:val="000A77B5"/>
    <w:rsid w:val="000A7B66"/>
    <w:rsid w:val="000C2500"/>
    <w:rsid w:val="000C39C6"/>
    <w:rsid w:val="000D1743"/>
    <w:rsid w:val="000E57DB"/>
    <w:rsid w:val="000F6CBB"/>
    <w:rsid w:val="00100FB9"/>
    <w:rsid w:val="0010615C"/>
    <w:rsid w:val="001102C3"/>
    <w:rsid w:val="00121246"/>
    <w:rsid w:val="00122625"/>
    <w:rsid w:val="001260AB"/>
    <w:rsid w:val="00132A79"/>
    <w:rsid w:val="001574EC"/>
    <w:rsid w:val="00191034"/>
    <w:rsid w:val="00194B6A"/>
    <w:rsid w:val="001A51F3"/>
    <w:rsid w:val="001C545F"/>
    <w:rsid w:val="001C62B2"/>
    <w:rsid w:val="001D3F34"/>
    <w:rsid w:val="001E0928"/>
    <w:rsid w:val="0020315F"/>
    <w:rsid w:val="002036ED"/>
    <w:rsid w:val="00214EC5"/>
    <w:rsid w:val="00225026"/>
    <w:rsid w:val="002375C7"/>
    <w:rsid w:val="00260D6C"/>
    <w:rsid w:val="002620E9"/>
    <w:rsid w:val="00272B1C"/>
    <w:rsid w:val="00281310"/>
    <w:rsid w:val="002C1F75"/>
    <w:rsid w:val="002D240A"/>
    <w:rsid w:val="002D6857"/>
    <w:rsid w:val="002E1956"/>
    <w:rsid w:val="00304C98"/>
    <w:rsid w:val="003200D6"/>
    <w:rsid w:val="00333DB9"/>
    <w:rsid w:val="00343601"/>
    <w:rsid w:val="00346358"/>
    <w:rsid w:val="00346DBD"/>
    <w:rsid w:val="00347624"/>
    <w:rsid w:val="00367E00"/>
    <w:rsid w:val="003705BB"/>
    <w:rsid w:val="003747A5"/>
    <w:rsid w:val="00386688"/>
    <w:rsid w:val="00393E96"/>
    <w:rsid w:val="003973AC"/>
    <w:rsid w:val="003A21FE"/>
    <w:rsid w:val="003C4F79"/>
    <w:rsid w:val="003D0F07"/>
    <w:rsid w:val="003D7B9E"/>
    <w:rsid w:val="00412655"/>
    <w:rsid w:val="00412952"/>
    <w:rsid w:val="00424DE3"/>
    <w:rsid w:val="00444048"/>
    <w:rsid w:val="00452F18"/>
    <w:rsid w:val="0046491C"/>
    <w:rsid w:val="00471ACB"/>
    <w:rsid w:val="0048490F"/>
    <w:rsid w:val="004C6BBF"/>
    <w:rsid w:val="004F36B5"/>
    <w:rsid w:val="00517664"/>
    <w:rsid w:val="00525DF2"/>
    <w:rsid w:val="00532410"/>
    <w:rsid w:val="0056023E"/>
    <w:rsid w:val="00575478"/>
    <w:rsid w:val="005A3267"/>
    <w:rsid w:val="005D4F74"/>
    <w:rsid w:val="005F6A90"/>
    <w:rsid w:val="00634736"/>
    <w:rsid w:val="00643C7E"/>
    <w:rsid w:val="006728FD"/>
    <w:rsid w:val="0069498B"/>
    <w:rsid w:val="006A21B1"/>
    <w:rsid w:val="006D268B"/>
    <w:rsid w:val="006E542C"/>
    <w:rsid w:val="00702BD9"/>
    <w:rsid w:val="00717C0D"/>
    <w:rsid w:val="0072136B"/>
    <w:rsid w:val="00736A2B"/>
    <w:rsid w:val="0076241F"/>
    <w:rsid w:val="00770016"/>
    <w:rsid w:val="00777181"/>
    <w:rsid w:val="00790E37"/>
    <w:rsid w:val="007A30D8"/>
    <w:rsid w:val="007A7FAD"/>
    <w:rsid w:val="007C43FB"/>
    <w:rsid w:val="007C524C"/>
    <w:rsid w:val="007D1488"/>
    <w:rsid w:val="00814E97"/>
    <w:rsid w:val="00816C18"/>
    <w:rsid w:val="00817341"/>
    <w:rsid w:val="0082452E"/>
    <w:rsid w:val="008361CA"/>
    <w:rsid w:val="008460C4"/>
    <w:rsid w:val="00847389"/>
    <w:rsid w:val="00850252"/>
    <w:rsid w:val="00856FA1"/>
    <w:rsid w:val="008702E8"/>
    <w:rsid w:val="008822B3"/>
    <w:rsid w:val="008858F1"/>
    <w:rsid w:val="008907F2"/>
    <w:rsid w:val="008911CF"/>
    <w:rsid w:val="008977B4"/>
    <w:rsid w:val="008B02A9"/>
    <w:rsid w:val="008B03B6"/>
    <w:rsid w:val="008E1DCC"/>
    <w:rsid w:val="008F3E81"/>
    <w:rsid w:val="00900E75"/>
    <w:rsid w:val="00902248"/>
    <w:rsid w:val="009156AC"/>
    <w:rsid w:val="00927C4F"/>
    <w:rsid w:val="00937AD9"/>
    <w:rsid w:val="00937D7D"/>
    <w:rsid w:val="0094239C"/>
    <w:rsid w:val="00950792"/>
    <w:rsid w:val="009546BB"/>
    <w:rsid w:val="009A3355"/>
    <w:rsid w:val="009A5396"/>
    <w:rsid w:val="009C4EF6"/>
    <w:rsid w:val="009D1AA8"/>
    <w:rsid w:val="009D2892"/>
    <w:rsid w:val="00A043A9"/>
    <w:rsid w:val="00A07971"/>
    <w:rsid w:val="00A626F8"/>
    <w:rsid w:val="00A63717"/>
    <w:rsid w:val="00A94632"/>
    <w:rsid w:val="00AA49F3"/>
    <w:rsid w:val="00AB023D"/>
    <w:rsid w:val="00AB126B"/>
    <w:rsid w:val="00AC381E"/>
    <w:rsid w:val="00AD1F13"/>
    <w:rsid w:val="00AE4797"/>
    <w:rsid w:val="00AE5BD5"/>
    <w:rsid w:val="00B120CA"/>
    <w:rsid w:val="00B25170"/>
    <w:rsid w:val="00B26501"/>
    <w:rsid w:val="00B44F6D"/>
    <w:rsid w:val="00B62245"/>
    <w:rsid w:val="00B8686D"/>
    <w:rsid w:val="00B951FF"/>
    <w:rsid w:val="00BC7B0C"/>
    <w:rsid w:val="00BD19AB"/>
    <w:rsid w:val="00BD2614"/>
    <w:rsid w:val="00BF2070"/>
    <w:rsid w:val="00BF3534"/>
    <w:rsid w:val="00C243CD"/>
    <w:rsid w:val="00C3709F"/>
    <w:rsid w:val="00C41CE1"/>
    <w:rsid w:val="00C44747"/>
    <w:rsid w:val="00C7250F"/>
    <w:rsid w:val="00C872FA"/>
    <w:rsid w:val="00C901A6"/>
    <w:rsid w:val="00CC62FD"/>
    <w:rsid w:val="00CE0823"/>
    <w:rsid w:val="00CF0895"/>
    <w:rsid w:val="00CF2F92"/>
    <w:rsid w:val="00CF52FE"/>
    <w:rsid w:val="00D1242B"/>
    <w:rsid w:val="00D15396"/>
    <w:rsid w:val="00D16F27"/>
    <w:rsid w:val="00D23B79"/>
    <w:rsid w:val="00D33AF9"/>
    <w:rsid w:val="00D363F7"/>
    <w:rsid w:val="00D5296C"/>
    <w:rsid w:val="00D72985"/>
    <w:rsid w:val="00D7508B"/>
    <w:rsid w:val="00DA472B"/>
    <w:rsid w:val="00DB7D4E"/>
    <w:rsid w:val="00DC0B61"/>
    <w:rsid w:val="00DE67B1"/>
    <w:rsid w:val="00DF6F7E"/>
    <w:rsid w:val="00E34F08"/>
    <w:rsid w:val="00E61AB8"/>
    <w:rsid w:val="00E63195"/>
    <w:rsid w:val="00E706DA"/>
    <w:rsid w:val="00E83E93"/>
    <w:rsid w:val="00E90EB5"/>
    <w:rsid w:val="00E94FBF"/>
    <w:rsid w:val="00EF0C2D"/>
    <w:rsid w:val="00F07862"/>
    <w:rsid w:val="00F443A7"/>
    <w:rsid w:val="00F45161"/>
    <w:rsid w:val="00F46E78"/>
    <w:rsid w:val="00F50EA0"/>
    <w:rsid w:val="00F5642A"/>
    <w:rsid w:val="00F747F8"/>
    <w:rsid w:val="00F857BC"/>
    <w:rsid w:val="00F9357D"/>
    <w:rsid w:val="00FB7372"/>
    <w:rsid w:val="00FC5012"/>
    <w:rsid w:val="00FF0F06"/>
    <w:rsid w:val="00FF5B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A45B9-936E-4A31-9340-304E5980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2960</Words>
  <Characters>16284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2019-06-17T20:04:00Z</cp:lastPrinted>
  <dcterms:created xsi:type="dcterms:W3CDTF">2019-07-09T18:45:00Z</dcterms:created>
  <dcterms:modified xsi:type="dcterms:W3CDTF">2019-07-09T18:45:00Z</dcterms:modified>
</cp:coreProperties>
</file>